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8B50" w14:textId="77777777" w:rsidR="00225995" w:rsidRPr="00FC077F" w:rsidRDefault="00225995">
      <w:pPr>
        <w:rPr>
          <w:rFonts w:ascii="Franklin Gothic Book" w:hAnsi="Franklin Gothic Book" w:cs="Times New Roman"/>
        </w:rPr>
      </w:pPr>
    </w:p>
    <w:p w14:paraId="18DA3948" w14:textId="77777777" w:rsidR="00BB18A8" w:rsidRPr="00FC077F" w:rsidRDefault="00BB18A8">
      <w:pPr>
        <w:rPr>
          <w:rFonts w:ascii="Franklin Gothic Book" w:hAnsi="Franklin Gothic Book" w:cs="Times New Roman"/>
        </w:rPr>
      </w:pPr>
    </w:p>
    <w:p w14:paraId="06D441FF" w14:textId="77777777" w:rsidR="005E7905" w:rsidRPr="00FC077F" w:rsidRDefault="00BB18A8" w:rsidP="005E7905">
      <w:pPr>
        <w:spacing w:after="0"/>
        <w:jc w:val="center"/>
        <w:rPr>
          <w:rFonts w:ascii="Franklin Gothic Book" w:hAnsi="Franklin Gothic Book" w:cs="Times New Roman"/>
          <w:b/>
          <w:caps/>
        </w:rPr>
      </w:pPr>
      <w:r w:rsidRPr="00FC077F">
        <w:rPr>
          <w:rFonts w:ascii="Franklin Gothic Book" w:hAnsi="Franklin Gothic Book" w:cs="Times New Roman"/>
          <w:b/>
          <w:caps/>
        </w:rPr>
        <w:t>Complaint</w:t>
      </w:r>
    </w:p>
    <w:p w14:paraId="17F48804" w14:textId="77777777" w:rsidR="005E7905" w:rsidRPr="00FC077F" w:rsidRDefault="005E7905" w:rsidP="005E7905">
      <w:pPr>
        <w:spacing w:after="0"/>
        <w:jc w:val="center"/>
        <w:rPr>
          <w:rFonts w:ascii="Franklin Gothic Book" w:hAnsi="Franklin Gothic Book" w:cs="Times New Roman"/>
          <w:b/>
          <w:caps/>
        </w:rPr>
      </w:pPr>
    </w:p>
    <w:p w14:paraId="1B12B3A8" w14:textId="77777777" w:rsidR="005E7905" w:rsidRPr="00FC077F" w:rsidRDefault="00BB18A8" w:rsidP="005E7905">
      <w:pPr>
        <w:spacing w:after="0"/>
        <w:jc w:val="center"/>
        <w:rPr>
          <w:rFonts w:ascii="Franklin Gothic Book" w:hAnsi="Franklin Gothic Book" w:cs="Times New Roman"/>
          <w:b/>
          <w:caps/>
        </w:rPr>
      </w:pPr>
      <w:r w:rsidRPr="00FC077F">
        <w:rPr>
          <w:rFonts w:ascii="Franklin Gothic Book" w:hAnsi="Franklin Gothic Book" w:cs="Times New Roman"/>
          <w:b/>
          <w:caps/>
        </w:rPr>
        <w:t>to the commission of the european union</w:t>
      </w:r>
      <w:r w:rsidR="005E7905" w:rsidRPr="00FC077F">
        <w:rPr>
          <w:rFonts w:ascii="Franklin Gothic Book" w:hAnsi="Franklin Gothic Book" w:cs="Times New Roman"/>
          <w:b/>
          <w:caps/>
        </w:rPr>
        <w:t xml:space="preserve"> </w:t>
      </w:r>
    </w:p>
    <w:p w14:paraId="37830255" w14:textId="77777777" w:rsidR="00BB18A8" w:rsidRPr="00FC077F" w:rsidRDefault="00BB18A8" w:rsidP="005E7905">
      <w:pPr>
        <w:spacing w:after="0"/>
        <w:jc w:val="center"/>
        <w:rPr>
          <w:rFonts w:ascii="Franklin Gothic Book" w:hAnsi="Franklin Gothic Book" w:cs="Times New Roman"/>
          <w:b/>
          <w:caps/>
        </w:rPr>
      </w:pPr>
      <w:r w:rsidRPr="00FC077F">
        <w:rPr>
          <w:rFonts w:ascii="Franklin Gothic Book" w:hAnsi="Franklin Gothic Book" w:cs="Times New Roman"/>
          <w:b/>
          <w:caps/>
        </w:rPr>
        <w:t>concerning the failure to comply with EU law</w:t>
      </w:r>
    </w:p>
    <w:p w14:paraId="37FD499A" w14:textId="77777777" w:rsidR="005E7905" w:rsidRPr="00FC077F" w:rsidRDefault="00BB18A8" w:rsidP="005E7905">
      <w:pPr>
        <w:spacing w:after="0"/>
        <w:jc w:val="center"/>
        <w:rPr>
          <w:rFonts w:ascii="Franklin Gothic Book" w:hAnsi="Franklin Gothic Book" w:cs="Times New Roman"/>
          <w:b/>
          <w:caps/>
        </w:rPr>
      </w:pPr>
      <w:r w:rsidRPr="00FC077F">
        <w:rPr>
          <w:rFonts w:ascii="Franklin Gothic Book" w:hAnsi="Franklin Gothic Book" w:cs="Times New Roman"/>
          <w:b/>
          <w:caps/>
        </w:rPr>
        <w:t xml:space="preserve">by </w:t>
      </w:r>
    </w:p>
    <w:p w14:paraId="0AFD60CE" w14:textId="77777777" w:rsidR="00BB18A8" w:rsidRPr="00FC077F" w:rsidRDefault="00BB18A8" w:rsidP="005E7905">
      <w:pPr>
        <w:spacing w:after="0"/>
        <w:jc w:val="center"/>
        <w:rPr>
          <w:rFonts w:ascii="Franklin Gothic Book" w:hAnsi="Franklin Gothic Book" w:cs="Times New Roman"/>
          <w:b/>
          <w:caps/>
        </w:rPr>
      </w:pPr>
      <w:r w:rsidRPr="00FC077F">
        <w:rPr>
          <w:rFonts w:ascii="Franklin Gothic Book" w:hAnsi="Franklin Gothic Book" w:cs="Times New Roman"/>
          <w:b/>
          <w:caps/>
        </w:rPr>
        <w:t>the united Kingdom</w:t>
      </w:r>
    </w:p>
    <w:p w14:paraId="357779BB" w14:textId="77777777" w:rsidR="00BB18A8" w:rsidRPr="00FC077F" w:rsidRDefault="00BB18A8" w:rsidP="005E7905">
      <w:pPr>
        <w:spacing w:after="0"/>
        <w:jc w:val="center"/>
        <w:rPr>
          <w:rFonts w:ascii="Franklin Gothic Book" w:hAnsi="Franklin Gothic Book" w:cs="Times New Roman"/>
          <w:b/>
          <w:caps/>
        </w:rPr>
      </w:pPr>
      <w:r w:rsidRPr="00FC077F">
        <w:rPr>
          <w:rFonts w:ascii="Franklin Gothic Book" w:hAnsi="Franklin Gothic Book" w:cs="Times New Roman"/>
          <w:b/>
          <w:caps/>
        </w:rPr>
        <w:t>in connect</w:t>
      </w:r>
      <w:r w:rsidR="005E7905" w:rsidRPr="00FC077F">
        <w:rPr>
          <w:rFonts w:ascii="Franklin Gothic Book" w:hAnsi="Franklin Gothic Book" w:cs="Times New Roman"/>
          <w:b/>
          <w:caps/>
        </w:rPr>
        <w:t>ion</w:t>
      </w:r>
      <w:r w:rsidRPr="00FC077F">
        <w:rPr>
          <w:rFonts w:ascii="Franklin Gothic Book" w:hAnsi="Franklin Gothic Book" w:cs="Times New Roman"/>
          <w:b/>
          <w:caps/>
        </w:rPr>
        <w:t xml:space="preserve"> with the UK Rules on Data Protection</w:t>
      </w:r>
      <w:bookmarkStart w:id="0" w:name="_GoBack"/>
      <w:bookmarkEnd w:id="0"/>
    </w:p>
    <w:p w14:paraId="4385CBEE" w14:textId="77777777" w:rsidR="00BB18A8" w:rsidRPr="00FC077F" w:rsidRDefault="00BB18A8" w:rsidP="00BB18A8">
      <w:pPr>
        <w:rPr>
          <w:rFonts w:ascii="Franklin Gothic Book" w:hAnsi="Franklin Gothic Book" w:cs="Times New Roman"/>
          <w:b/>
          <w:caps/>
          <w:u w:val="single"/>
        </w:rPr>
      </w:pPr>
    </w:p>
    <w:p w14:paraId="7EED50DC" w14:textId="77777777" w:rsidR="00DD417E" w:rsidRPr="00FC077F" w:rsidRDefault="00DD417E" w:rsidP="00BB18A8">
      <w:pPr>
        <w:rPr>
          <w:rFonts w:ascii="Franklin Gothic Book" w:hAnsi="Franklin Gothic Book" w:cs="Times New Roman"/>
          <w:b/>
          <w:caps/>
          <w:u w:val="single"/>
        </w:rPr>
      </w:pPr>
    </w:p>
    <w:p w14:paraId="7143FB3C" w14:textId="2A29143E" w:rsidR="00277FEB" w:rsidRDefault="00DD417E">
      <w:pPr>
        <w:pStyle w:val="TOC1"/>
        <w:tabs>
          <w:tab w:val="left" w:pos="440"/>
          <w:tab w:val="right" w:leader="dot" w:pos="9062"/>
        </w:tabs>
        <w:rPr>
          <w:rFonts w:eastAsiaTheme="minorEastAsia"/>
          <w:b w:val="0"/>
          <w:bCs w:val="0"/>
          <w:caps w:val="0"/>
          <w:noProof/>
          <w:sz w:val="22"/>
          <w:szCs w:val="22"/>
          <w:lang w:eastAsia="en-GB"/>
        </w:rPr>
      </w:pPr>
      <w:r w:rsidRPr="00FC077F">
        <w:rPr>
          <w:rFonts w:ascii="Franklin Gothic Book" w:hAnsi="Franklin Gothic Book" w:cs="Times New Roman"/>
          <w:b w:val="0"/>
          <w:caps w:val="0"/>
          <w:sz w:val="22"/>
          <w:szCs w:val="22"/>
          <w:u w:val="single"/>
        </w:rPr>
        <w:fldChar w:fldCharType="begin"/>
      </w:r>
      <w:r w:rsidRPr="00FC077F">
        <w:rPr>
          <w:rFonts w:ascii="Franklin Gothic Book" w:hAnsi="Franklin Gothic Book" w:cs="Times New Roman"/>
          <w:b w:val="0"/>
          <w:caps w:val="0"/>
          <w:sz w:val="22"/>
          <w:szCs w:val="22"/>
          <w:u w:val="single"/>
        </w:rPr>
        <w:instrText xml:space="preserve"> TOC \o "1-4" \h \z \u </w:instrText>
      </w:r>
      <w:r w:rsidRPr="00FC077F">
        <w:rPr>
          <w:rFonts w:ascii="Franklin Gothic Book" w:hAnsi="Franklin Gothic Book" w:cs="Times New Roman"/>
          <w:b w:val="0"/>
          <w:caps w:val="0"/>
          <w:sz w:val="22"/>
          <w:szCs w:val="22"/>
          <w:u w:val="single"/>
        </w:rPr>
        <w:fldChar w:fldCharType="separate"/>
      </w:r>
      <w:hyperlink w:anchor="_Toc10494460" w:history="1">
        <w:r w:rsidR="00277FEB" w:rsidRPr="00DA4BC5">
          <w:rPr>
            <w:rStyle w:val="Hyperlink"/>
            <w:noProof/>
          </w:rPr>
          <w:t>I.</w:t>
        </w:r>
        <w:r w:rsidR="00277FEB">
          <w:rPr>
            <w:rFonts w:eastAsiaTheme="minorEastAsia"/>
            <w:b w:val="0"/>
            <w:bCs w:val="0"/>
            <w:caps w:val="0"/>
            <w:noProof/>
            <w:sz w:val="22"/>
            <w:szCs w:val="22"/>
            <w:lang w:eastAsia="en-GB"/>
          </w:rPr>
          <w:tab/>
        </w:r>
        <w:r w:rsidR="00277FEB" w:rsidRPr="00DA4BC5">
          <w:rPr>
            <w:rStyle w:val="Hyperlink"/>
            <w:noProof/>
          </w:rPr>
          <w:t>IDENTITY AND CONTACT DETAILS OF COMPLAINANT AND THEIR REPRESENTATIVE</w:t>
        </w:r>
        <w:r w:rsidR="00277FEB">
          <w:rPr>
            <w:noProof/>
            <w:webHidden/>
          </w:rPr>
          <w:tab/>
        </w:r>
        <w:r w:rsidR="00277FEB">
          <w:rPr>
            <w:noProof/>
            <w:webHidden/>
          </w:rPr>
          <w:fldChar w:fldCharType="begin"/>
        </w:r>
        <w:r w:rsidR="00277FEB">
          <w:rPr>
            <w:noProof/>
            <w:webHidden/>
          </w:rPr>
          <w:instrText xml:space="preserve"> PAGEREF _Toc10494460 \h </w:instrText>
        </w:r>
        <w:r w:rsidR="00277FEB">
          <w:rPr>
            <w:noProof/>
            <w:webHidden/>
          </w:rPr>
        </w:r>
        <w:r w:rsidR="00277FEB">
          <w:rPr>
            <w:noProof/>
            <w:webHidden/>
          </w:rPr>
          <w:fldChar w:fldCharType="separate"/>
        </w:r>
        <w:r w:rsidR="00BC39E1">
          <w:rPr>
            <w:noProof/>
            <w:webHidden/>
          </w:rPr>
          <w:t>2</w:t>
        </w:r>
        <w:r w:rsidR="00277FEB">
          <w:rPr>
            <w:noProof/>
            <w:webHidden/>
          </w:rPr>
          <w:fldChar w:fldCharType="end"/>
        </w:r>
      </w:hyperlink>
    </w:p>
    <w:p w14:paraId="580A1B9D" w14:textId="2686169D" w:rsidR="00277FEB" w:rsidRDefault="00BC39E1">
      <w:pPr>
        <w:pStyle w:val="TOC2"/>
        <w:tabs>
          <w:tab w:val="left" w:pos="660"/>
          <w:tab w:val="right" w:leader="dot" w:pos="9062"/>
        </w:tabs>
        <w:rPr>
          <w:rFonts w:eastAsiaTheme="minorEastAsia"/>
          <w:smallCaps w:val="0"/>
          <w:noProof/>
          <w:sz w:val="22"/>
          <w:szCs w:val="22"/>
          <w:lang w:eastAsia="en-GB"/>
        </w:rPr>
      </w:pPr>
      <w:hyperlink w:anchor="_Toc10494461" w:history="1">
        <w:r w:rsidR="00277FEB" w:rsidRPr="00DA4BC5">
          <w:rPr>
            <w:rStyle w:val="Hyperlink"/>
            <w:noProof/>
          </w:rPr>
          <w:t>1.</w:t>
        </w:r>
        <w:r w:rsidR="00277FEB">
          <w:rPr>
            <w:rFonts w:eastAsiaTheme="minorEastAsia"/>
            <w:smallCaps w:val="0"/>
            <w:noProof/>
            <w:sz w:val="22"/>
            <w:szCs w:val="22"/>
            <w:lang w:eastAsia="en-GB"/>
          </w:rPr>
          <w:tab/>
        </w:r>
        <w:r w:rsidR="00277FEB" w:rsidRPr="00DA4BC5">
          <w:rPr>
            <w:rStyle w:val="Hyperlink"/>
            <w:noProof/>
          </w:rPr>
          <w:t>Representative’s contact details</w:t>
        </w:r>
        <w:r w:rsidR="00277FEB">
          <w:rPr>
            <w:noProof/>
            <w:webHidden/>
          </w:rPr>
          <w:tab/>
        </w:r>
        <w:r w:rsidR="00277FEB">
          <w:rPr>
            <w:noProof/>
            <w:webHidden/>
          </w:rPr>
          <w:fldChar w:fldCharType="begin"/>
        </w:r>
        <w:r w:rsidR="00277FEB">
          <w:rPr>
            <w:noProof/>
            <w:webHidden/>
          </w:rPr>
          <w:instrText xml:space="preserve"> PAGEREF _Toc10494461 \h </w:instrText>
        </w:r>
        <w:r w:rsidR="00277FEB">
          <w:rPr>
            <w:noProof/>
            <w:webHidden/>
          </w:rPr>
        </w:r>
        <w:r w:rsidR="00277FEB">
          <w:rPr>
            <w:noProof/>
            <w:webHidden/>
          </w:rPr>
          <w:fldChar w:fldCharType="separate"/>
        </w:r>
        <w:r>
          <w:rPr>
            <w:noProof/>
            <w:webHidden/>
          </w:rPr>
          <w:t>2</w:t>
        </w:r>
        <w:r w:rsidR="00277FEB">
          <w:rPr>
            <w:noProof/>
            <w:webHidden/>
          </w:rPr>
          <w:fldChar w:fldCharType="end"/>
        </w:r>
      </w:hyperlink>
    </w:p>
    <w:p w14:paraId="16D248C1" w14:textId="4C73FC49" w:rsidR="00277FEB" w:rsidRDefault="00BC39E1">
      <w:pPr>
        <w:pStyle w:val="TOC2"/>
        <w:tabs>
          <w:tab w:val="left" w:pos="660"/>
          <w:tab w:val="right" w:leader="dot" w:pos="9062"/>
        </w:tabs>
        <w:rPr>
          <w:rFonts w:eastAsiaTheme="minorEastAsia"/>
          <w:smallCaps w:val="0"/>
          <w:noProof/>
          <w:sz w:val="22"/>
          <w:szCs w:val="22"/>
          <w:lang w:eastAsia="en-GB"/>
        </w:rPr>
      </w:pPr>
      <w:hyperlink w:anchor="_Toc10494462" w:history="1">
        <w:r w:rsidR="00277FEB" w:rsidRPr="00DA4BC5">
          <w:rPr>
            <w:rStyle w:val="Hyperlink"/>
            <w:noProof/>
          </w:rPr>
          <w:t>2.</w:t>
        </w:r>
        <w:r w:rsidR="00277FEB">
          <w:rPr>
            <w:rFonts w:eastAsiaTheme="minorEastAsia"/>
            <w:smallCaps w:val="0"/>
            <w:noProof/>
            <w:sz w:val="22"/>
            <w:szCs w:val="22"/>
            <w:lang w:eastAsia="en-GB"/>
          </w:rPr>
          <w:tab/>
        </w:r>
        <w:r w:rsidR="00277FEB" w:rsidRPr="00DA4BC5">
          <w:rPr>
            <w:rStyle w:val="Hyperlink"/>
            <w:noProof/>
          </w:rPr>
          <w:t>I am submitting this complaint on behalf of someone else:</w:t>
        </w:r>
        <w:r w:rsidR="00277FEB">
          <w:rPr>
            <w:noProof/>
            <w:webHidden/>
          </w:rPr>
          <w:tab/>
        </w:r>
        <w:r w:rsidR="00277FEB">
          <w:rPr>
            <w:noProof/>
            <w:webHidden/>
          </w:rPr>
          <w:fldChar w:fldCharType="begin"/>
        </w:r>
        <w:r w:rsidR="00277FEB">
          <w:rPr>
            <w:noProof/>
            <w:webHidden/>
          </w:rPr>
          <w:instrText xml:space="preserve"> PAGEREF _Toc10494462 \h </w:instrText>
        </w:r>
        <w:r w:rsidR="00277FEB">
          <w:rPr>
            <w:noProof/>
            <w:webHidden/>
          </w:rPr>
        </w:r>
        <w:r w:rsidR="00277FEB">
          <w:rPr>
            <w:noProof/>
            <w:webHidden/>
          </w:rPr>
          <w:fldChar w:fldCharType="separate"/>
        </w:r>
        <w:r>
          <w:rPr>
            <w:noProof/>
            <w:webHidden/>
          </w:rPr>
          <w:t>2</w:t>
        </w:r>
        <w:r w:rsidR="00277FEB">
          <w:rPr>
            <w:noProof/>
            <w:webHidden/>
          </w:rPr>
          <w:fldChar w:fldCharType="end"/>
        </w:r>
      </w:hyperlink>
    </w:p>
    <w:p w14:paraId="1C3DCB1D" w14:textId="425ACFA4" w:rsidR="00277FEB" w:rsidRDefault="00BC39E1">
      <w:pPr>
        <w:pStyle w:val="TOC2"/>
        <w:tabs>
          <w:tab w:val="left" w:pos="660"/>
          <w:tab w:val="right" w:leader="dot" w:pos="9062"/>
        </w:tabs>
        <w:rPr>
          <w:rFonts w:eastAsiaTheme="minorEastAsia"/>
          <w:smallCaps w:val="0"/>
          <w:noProof/>
          <w:sz w:val="22"/>
          <w:szCs w:val="22"/>
          <w:lang w:eastAsia="en-GB"/>
        </w:rPr>
      </w:pPr>
      <w:hyperlink w:anchor="_Toc10494463" w:history="1">
        <w:r w:rsidR="00277FEB" w:rsidRPr="00DA4BC5">
          <w:rPr>
            <w:rStyle w:val="Hyperlink"/>
            <w:noProof/>
          </w:rPr>
          <w:t>3.</w:t>
        </w:r>
        <w:r w:rsidR="00277FEB">
          <w:rPr>
            <w:rFonts w:eastAsiaTheme="minorEastAsia"/>
            <w:smallCaps w:val="0"/>
            <w:noProof/>
            <w:sz w:val="22"/>
            <w:szCs w:val="22"/>
            <w:lang w:eastAsia="en-GB"/>
          </w:rPr>
          <w:tab/>
        </w:r>
        <w:r w:rsidR="00277FEB" w:rsidRPr="00DA4BC5">
          <w:rPr>
            <w:rStyle w:val="Hyperlink"/>
            <w:noProof/>
          </w:rPr>
          <w:t>Correspondence from the Commission can be sent to the complainant or the complainant’s representative</w:t>
        </w:r>
        <w:r w:rsidR="00277FEB">
          <w:rPr>
            <w:noProof/>
            <w:webHidden/>
          </w:rPr>
          <w:tab/>
        </w:r>
        <w:r w:rsidR="00277FEB">
          <w:rPr>
            <w:noProof/>
            <w:webHidden/>
          </w:rPr>
          <w:fldChar w:fldCharType="begin"/>
        </w:r>
        <w:r w:rsidR="00277FEB">
          <w:rPr>
            <w:noProof/>
            <w:webHidden/>
          </w:rPr>
          <w:instrText xml:space="preserve"> PAGEREF _Toc10494463 \h </w:instrText>
        </w:r>
        <w:r w:rsidR="00277FEB">
          <w:rPr>
            <w:noProof/>
            <w:webHidden/>
          </w:rPr>
        </w:r>
        <w:r w:rsidR="00277FEB">
          <w:rPr>
            <w:noProof/>
            <w:webHidden/>
          </w:rPr>
          <w:fldChar w:fldCharType="separate"/>
        </w:r>
        <w:r>
          <w:rPr>
            <w:noProof/>
            <w:webHidden/>
          </w:rPr>
          <w:t>2</w:t>
        </w:r>
        <w:r w:rsidR="00277FEB">
          <w:rPr>
            <w:noProof/>
            <w:webHidden/>
          </w:rPr>
          <w:fldChar w:fldCharType="end"/>
        </w:r>
      </w:hyperlink>
    </w:p>
    <w:p w14:paraId="09A5D774" w14:textId="69E0F68B" w:rsidR="00277FEB" w:rsidRDefault="00BC39E1">
      <w:pPr>
        <w:pStyle w:val="TOC1"/>
        <w:tabs>
          <w:tab w:val="left" w:pos="440"/>
          <w:tab w:val="right" w:leader="dot" w:pos="9062"/>
        </w:tabs>
        <w:rPr>
          <w:rFonts w:eastAsiaTheme="minorEastAsia"/>
          <w:b w:val="0"/>
          <w:bCs w:val="0"/>
          <w:caps w:val="0"/>
          <w:noProof/>
          <w:sz w:val="22"/>
          <w:szCs w:val="22"/>
          <w:lang w:eastAsia="en-GB"/>
        </w:rPr>
      </w:pPr>
      <w:hyperlink w:anchor="_Toc10494464" w:history="1">
        <w:r w:rsidR="00277FEB" w:rsidRPr="00DA4BC5">
          <w:rPr>
            <w:rStyle w:val="Hyperlink"/>
            <w:noProof/>
          </w:rPr>
          <w:t>II.</w:t>
        </w:r>
        <w:r w:rsidR="00277FEB">
          <w:rPr>
            <w:rFonts w:eastAsiaTheme="minorEastAsia"/>
            <w:b w:val="0"/>
            <w:bCs w:val="0"/>
            <w:caps w:val="0"/>
            <w:noProof/>
            <w:sz w:val="22"/>
            <w:szCs w:val="22"/>
            <w:lang w:eastAsia="en-GB"/>
          </w:rPr>
          <w:tab/>
        </w:r>
        <w:r w:rsidR="00277FEB" w:rsidRPr="00DA4BC5">
          <w:rPr>
            <w:rStyle w:val="Hyperlink"/>
            <w:noProof/>
          </w:rPr>
          <w:t>DESCRIPTION OF THE SUSPECTED INFRINGEMENT OF UNION LAW</w:t>
        </w:r>
        <w:r w:rsidR="00277FEB">
          <w:rPr>
            <w:noProof/>
            <w:webHidden/>
          </w:rPr>
          <w:tab/>
        </w:r>
        <w:r w:rsidR="00277FEB">
          <w:rPr>
            <w:noProof/>
            <w:webHidden/>
          </w:rPr>
          <w:fldChar w:fldCharType="begin"/>
        </w:r>
        <w:r w:rsidR="00277FEB">
          <w:rPr>
            <w:noProof/>
            <w:webHidden/>
          </w:rPr>
          <w:instrText xml:space="preserve"> PAGEREF _Toc10494464 \h </w:instrText>
        </w:r>
        <w:r w:rsidR="00277FEB">
          <w:rPr>
            <w:noProof/>
            <w:webHidden/>
          </w:rPr>
        </w:r>
        <w:r w:rsidR="00277FEB">
          <w:rPr>
            <w:noProof/>
            <w:webHidden/>
          </w:rPr>
          <w:fldChar w:fldCharType="separate"/>
        </w:r>
        <w:r>
          <w:rPr>
            <w:noProof/>
            <w:webHidden/>
          </w:rPr>
          <w:t>3</w:t>
        </w:r>
        <w:r w:rsidR="00277FEB">
          <w:rPr>
            <w:noProof/>
            <w:webHidden/>
          </w:rPr>
          <w:fldChar w:fldCharType="end"/>
        </w:r>
      </w:hyperlink>
    </w:p>
    <w:p w14:paraId="3A472E4B" w14:textId="53E0EEB9" w:rsidR="00277FEB" w:rsidRDefault="00BC39E1">
      <w:pPr>
        <w:pStyle w:val="TOC2"/>
        <w:tabs>
          <w:tab w:val="left" w:pos="660"/>
          <w:tab w:val="right" w:leader="dot" w:pos="9062"/>
        </w:tabs>
        <w:rPr>
          <w:rFonts w:eastAsiaTheme="minorEastAsia"/>
          <w:smallCaps w:val="0"/>
          <w:noProof/>
          <w:sz w:val="22"/>
          <w:szCs w:val="22"/>
          <w:lang w:eastAsia="en-GB"/>
        </w:rPr>
      </w:pPr>
      <w:hyperlink w:anchor="_Toc10494465" w:history="1">
        <w:r w:rsidR="00277FEB" w:rsidRPr="00DA4BC5">
          <w:rPr>
            <w:rStyle w:val="Hyperlink"/>
            <w:noProof/>
          </w:rPr>
          <w:t>4.</w:t>
        </w:r>
        <w:r w:rsidR="00277FEB">
          <w:rPr>
            <w:rFonts w:eastAsiaTheme="minorEastAsia"/>
            <w:smallCaps w:val="0"/>
            <w:noProof/>
            <w:sz w:val="22"/>
            <w:szCs w:val="22"/>
            <w:lang w:eastAsia="en-GB"/>
          </w:rPr>
          <w:tab/>
        </w:r>
        <w:r w:rsidR="00277FEB" w:rsidRPr="00DA4BC5">
          <w:rPr>
            <w:rStyle w:val="Hyperlink"/>
            <w:noProof/>
          </w:rPr>
          <w:t>Description of the facts and the reasons for your complaint and remedial action sought</w:t>
        </w:r>
        <w:r w:rsidR="00277FEB">
          <w:rPr>
            <w:noProof/>
            <w:webHidden/>
          </w:rPr>
          <w:tab/>
        </w:r>
        <w:r w:rsidR="00277FEB">
          <w:rPr>
            <w:noProof/>
            <w:webHidden/>
          </w:rPr>
          <w:fldChar w:fldCharType="begin"/>
        </w:r>
        <w:r w:rsidR="00277FEB">
          <w:rPr>
            <w:noProof/>
            <w:webHidden/>
          </w:rPr>
          <w:instrText xml:space="preserve"> PAGEREF _Toc10494465 \h </w:instrText>
        </w:r>
        <w:r w:rsidR="00277FEB">
          <w:rPr>
            <w:noProof/>
            <w:webHidden/>
          </w:rPr>
        </w:r>
        <w:r w:rsidR="00277FEB">
          <w:rPr>
            <w:noProof/>
            <w:webHidden/>
          </w:rPr>
          <w:fldChar w:fldCharType="separate"/>
        </w:r>
        <w:r>
          <w:rPr>
            <w:noProof/>
            <w:webHidden/>
          </w:rPr>
          <w:t>3</w:t>
        </w:r>
        <w:r w:rsidR="00277FEB">
          <w:rPr>
            <w:noProof/>
            <w:webHidden/>
          </w:rPr>
          <w:fldChar w:fldCharType="end"/>
        </w:r>
      </w:hyperlink>
    </w:p>
    <w:p w14:paraId="57C7D314" w14:textId="29EAC355" w:rsidR="00277FEB" w:rsidRDefault="00BC39E1">
      <w:pPr>
        <w:pStyle w:val="TOC4"/>
        <w:tabs>
          <w:tab w:val="right" w:leader="dot" w:pos="9062"/>
        </w:tabs>
        <w:rPr>
          <w:rFonts w:eastAsiaTheme="minorEastAsia"/>
          <w:noProof/>
          <w:sz w:val="22"/>
          <w:szCs w:val="22"/>
          <w:lang w:eastAsia="en-GB"/>
        </w:rPr>
      </w:pPr>
      <w:hyperlink w:anchor="_Toc10494466" w:history="1">
        <w:r w:rsidR="00277FEB" w:rsidRPr="00DA4BC5">
          <w:rPr>
            <w:rStyle w:val="Hyperlink"/>
            <w:noProof/>
          </w:rPr>
          <w:t>UK Data Protection Act 2018</w:t>
        </w:r>
        <w:r w:rsidR="00277FEB">
          <w:rPr>
            <w:noProof/>
            <w:webHidden/>
          </w:rPr>
          <w:tab/>
        </w:r>
        <w:r w:rsidR="00277FEB">
          <w:rPr>
            <w:noProof/>
            <w:webHidden/>
          </w:rPr>
          <w:fldChar w:fldCharType="begin"/>
        </w:r>
        <w:r w:rsidR="00277FEB">
          <w:rPr>
            <w:noProof/>
            <w:webHidden/>
          </w:rPr>
          <w:instrText xml:space="preserve"> PAGEREF _Toc10494466 \h </w:instrText>
        </w:r>
        <w:r w:rsidR="00277FEB">
          <w:rPr>
            <w:noProof/>
            <w:webHidden/>
          </w:rPr>
        </w:r>
        <w:r w:rsidR="00277FEB">
          <w:rPr>
            <w:noProof/>
            <w:webHidden/>
          </w:rPr>
          <w:fldChar w:fldCharType="separate"/>
        </w:r>
        <w:r>
          <w:rPr>
            <w:noProof/>
            <w:webHidden/>
          </w:rPr>
          <w:t>3</w:t>
        </w:r>
        <w:r w:rsidR="00277FEB">
          <w:rPr>
            <w:noProof/>
            <w:webHidden/>
          </w:rPr>
          <w:fldChar w:fldCharType="end"/>
        </w:r>
      </w:hyperlink>
    </w:p>
    <w:p w14:paraId="27F98C52" w14:textId="7FE3FEC4" w:rsidR="00277FEB" w:rsidRDefault="00BC39E1">
      <w:pPr>
        <w:pStyle w:val="TOC4"/>
        <w:tabs>
          <w:tab w:val="right" w:leader="dot" w:pos="9062"/>
        </w:tabs>
        <w:rPr>
          <w:rFonts w:eastAsiaTheme="minorEastAsia"/>
          <w:noProof/>
          <w:sz w:val="22"/>
          <w:szCs w:val="22"/>
          <w:lang w:eastAsia="en-GB"/>
        </w:rPr>
      </w:pPr>
      <w:hyperlink w:anchor="_Toc10494467" w:history="1">
        <w:r w:rsidR="00277FEB" w:rsidRPr="00DA4BC5">
          <w:rPr>
            <w:rStyle w:val="Hyperlink"/>
            <w:noProof/>
          </w:rPr>
          <w:t>The EU General Data Protection Regulation</w:t>
        </w:r>
        <w:r w:rsidR="00277FEB">
          <w:rPr>
            <w:noProof/>
            <w:webHidden/>
          </w:rPr>
          <w:tab/>
        </w:r>
        <w:r w:rsidR="00277FEB">
          <w:rPr>
            <w:noProof/>
            <w:webHidden/>
          </w:rPr>
          <w:fldChar w:fldCharType="begin"/>
        </w:r>
        <w:r w:rsidR="00277FEB">
          <w:rPr>
            <w:noProof/>
            <w:webHidden/>
          </w:rPr>
          <w:instrText xml:space="preserve"> PAGEREF _Toc10494467 \h </w:instrText>
        </w:r>
        <w:r w:rsidR="00277FEB">
          <w:rPr>
            <w:noProof/>
            <w:webHidden/>
          </w:rPr>
        </w:r>
        <w:r w:rsidR="00277FEB">
          <w:rPr>
            <w:noProof/>
            <w:webHidden/>
          </w:rPr>
          <w:fldChar w:fldCharType="separate"/>
        </w:r>
        <w:r>
          <w:rPr>
            <w:noProof/>
            <w:webHidden/>
          </w:rPr>
          <w:t>3</w:t>
        </w:r>
        <w:r w:rsidR="00277FEB">
          <w:rPr>
            <w:noProof/>
            <w:webHidden/>
          </w:rPr>
          <w:fldChar w:fldCharType="end"/>
        </w:r>
      </w:hyperlink>
    </w:p>
    <w:p w14:paraId="2B88E867" w14:textId="7395FE6F" w:rsidR="00277FEB" w:rsidRDefault="00BC39E1">
      <w:pPr>
        <w:pStyle w:val="TOC4"/>
        <w:tabs>
          <w:tab w:val="right" w:leader="dot" w:pos="9062"/>
        </w:tabs>
        <w:rPr>
          <w:rFonts w:eastAsiaTheme="minorEastAsia"/>
          <w:noProof/>
          <w:sz w:val="22"/>
          <w:szCs w:val="22"/>
          <w:lang w:eastAsia="en-GB"/>
        </w:rPr>
      </w:pPr>
      <w:hyperlink w:anchor="_Toc10494468" w:history="1">
        <w:r w:rsidR="00277FEB" w:rsidRPr="00DA4BC5">
          <w:rPr>
            <w:rStyle w:val="Hyperlink"/>
            <w:noProof/>
          </w:rPr>
          <w:t>Article 23 provides a limited basis for limiting application of the GDPR</w:t>
        </w:r>
        <w:r w:rsidR="00277FEB">
          <w:rPr>
            <w:noProof/>
            <w:webHidden/>
          </w:rPr>
          <w:tab/>
        </w:r>
        <w:r w:rsidR="00277FEB">
          <w:rPr>
            <w:noProof/>
            <w:webHidden/>
          </w:rPr>
          <w:fldChar w:fldCharType="begin"/>
        </w:r>
        <w:r w:rsidR="00277FEB">
          <w:rPr>
            <w:noProof/>
            <w:webHidden/>
          </w:rPr>
          <w:instrText xml:space="preserve"> PAGEREF _Toc10494468 \h </w:instrText>
        </w:r>
        <w:r w:rsidR="00277FEB">
          <w:rPr>
            <w:noProof/>
            <w:webHidden/>
          </w:rPr>
        </w:r>
        <w:r w:rsidR="00277FEB">
          <w:rPr>
            <w:noProof/>
            <w:webHidden/>
          </w:rPr>
          <w:fldChar w:fldCharType="separate"/>
        </w:r>
        <w:r>
          <w:rPr>
            <w:noProof/>
            <w:webHidden/>
          </w:rPr>
          <w:t>4</w:t>
        </w:r>
        <w:r w:rsidR="00277FEB">
          <w:rPr>
            <w:noProof/>
            <w:webHidden/>
          </w:rPr>
          <w:fldChar w:fldCharType="end"/>
        </w:r>
      </w:hyperlink>
    </w:p>
    <w:p w14:paraId="3E487D40" w14:textId="4ECF3448" w:rsidR="00277FEB" w:rsidRDefault="00BC39E1">
      <w:pPr>
        <w:pStyle w:val="TOC4"/>
        <w:tabs>
          <w:tab w:val="right" w:leader="dot" w:pos="9062"/>
        </w:tabs>
        <w:rPr>
          <w:rFonts w:eastAsiaTheme="minorEastAsia"/>
          <w:noProof/>
          <w:sz w:val="22"/>
          <w:szCs w:val="22"/>
          <w:lang w:eastAsia="en-GB"/>
        </w:rPr>
      </w:pPr>
      <w:hyperlink w:anchor="_Toc10494469" w:history="1">
        <w:r w:rsidR="00277FEB" w:rsidRPr="00DA4BC5">
          <w:rPr>
            <w:rStyle w:val="Hyperlink"/>
            <w:noProof/>
          </w:rPr>
          <w:t>The “immigration control exemption” is incompatible with the GDPR</w:t>
        </w:r>
        <w:r w:rsidR="00277FEB">
          <w:rPr>
            <w:noProof/>
            <w:webHidden/>
          </w:rPr>
          <w:tab/>
        </w:r>
        <w:r w:rsidR="00277FEB">
          <w:rPr>
            <w:noProof/>
            <w:webHidden/>
          </w:rPr>
          <w:fldChar w:fldCharType="begin"/>
        </w:r>
        <w:r w:rsidR="00277FEB">
          <w:rPr>
            <w:noProof/>
            <w:webHidden/>
          </w:rPr>
          <w:instrText xml:space="preserve"> PAGEREF _Toc10494469 \h </w:instrText>
        </w:r>
        <w:r w:rsidR="00277FEB">
          <w:rPr>
            <w:noProof/>
            <w:webHidden/>
          </w:rPr>
        </w:r>
        <w:r w:rsidR="00277FEB">
          <w:rPr>
            <w:noProof/>
            <w:webHidden/>
          </w:rPr>
          <w:fldChar w:fldCharType="separate"/>
        </w:r>
        <w:r>
          <w:rPr>
            <w:noProof/>
            <w:webHidden/>
          </w:rPr>
          <w:t>4</w:t>
        </w:r>
        <w:r w:rsidR="00277FEB">
          <w:rPr>
            <w:noProof/>
            <w:webHidden/>
          </w:rPr>
          <w:fldChar w:fldCharType="end"/>
        </w:r>
      </w:hyperlink>
    </w:p>
    <w:p w14:paraId="7DF9E52D" w14:textId="4E2F199B" w:rsidR="00277FEB" w:rsidRDefault="00BC39E1">
      <w:pPr>
        <w:pStyle w:val="TOC4"/>
        <w:tabs>
          <w:tab w:val="right" w:leader="dot" w:pos="9062"/>
        </w:tabs>
        <w:rPr>
          <w:rFonts w:eastAsiaTheme="minorEastAsia"/>
          <w:noProof/>
          <w:sz w:val="22"/>
          <w:szCs w:val="22"/>
          <w:lang w:eastAsia="en-GB"/>
        </w:rPr>
      </w:pPr>
      <w:hyperlink w:anchor="_Toc10494470" w:history="1">
        <w:r w:rsidR="00277FEB" w:rsidRPr="00DA4BC5">
          <w:rPr>
            <w:rStyle w:val="Hyperlink"/>
            <w:noProof/>
          </w:rPr>
          <w:t>The “immigration control exemption” does not safeguard a specific and important public interest of the kind envisioned by Article 23, and is not justified based on a “pressing social need”</w:t>
        </w:r>
        <w:r w:rsidR="00277FEB">
          <w:rPr>
            <w:noProof/>
            <w:webHidden/>
          </w:rPr>
          <w:tab/>
        </w:r>
        <w:r w:rsidR="00277FEB">
          <w:rPr>
            <w:noProof/>
            <w:webHidden/>
          </w:rPr>
          <w:fldChar w:fldCharType="begin"/>
        </w:r>
        <w:r w:rsidR="00277FEB">
          <w:rPr>
            <w:noProof/>
            <w:webHidden/>
          </w:rPr>
          <w:instrText xml:space="preserve"> PAGEREF _Toc10494470 \h </w:instrText>
        </w:r>
        <w:r w:rsidR="00277FEB">
          <w:rPr>
            <w:noProof/>
            <w:webHidden/>
          </w:rPr>
        </w:r>
        <w:r w:rsidR="00277FEB">
          <w:rPr>
            <w:noProof/>
            <w:webHidden/>
          </w:rPr>
          <w:fldChar w:fldCharType="separate"/>
        </w:r>
        <w:r>
          <w:rPr>
            <w:noProof/>
            <w:webHidden/>
          </w:rPr>
          <w:t>5</w:t>
        </w:r>
        <w:r w:rsidR="00277FEB">
          <w:rPr>
            <w:noProof/>
            <w:webHidden/>
          </w:rPr>
          <w:fldChar w:fldCharType="end"/>
        </w:r>
      </w:hyperlink>
    </w:p>
    <w:p w14:paraId="76D9E2E2" w14:textId="18F8D848" w:rsidR="00277FEB" w:rsidRDefault="00BC39E1">
      <w:pPr>
        <w:pStyle w:val="TOC4"/>
        <w:tabs>
          <w:tab w:val="right" w:leader="dot" w:pos="9062"/>
        </w:tabs>
        <w:rPr>
          <w:rFonts w:eastAsiaTheme="minorEastAsia"/>
          <w:noProof/>
          <w:sz w:val="22"/>
          <w:szCs w:val="22"/>
          <w:lang w:eastAsia="en-GB"/>
        </w:rPr>
      </w:pPr>
      <w:hyperlink w:anchor="_Toc10494471" w:history="1">
        <w:r w:rsidR="00277FEB" w:rsidRPr="00DA4BC5">
          <w:rPr>
            <w:rStyle w:val="Hyperlink"/>
            <w:noProof/>
          </w:rPr>
          <w:t>The “immigration control exemption” is overbroad, and neither clear nor precise enough to be foreseeable for affected individuals</w:t>
        </w:r>
        <w:r w:rsidR="00277FEB">
          <w:rPr>
            <w:noProof/>
            <w:webHidden/>
          </w:rPr>
          <w:tab/>
        </w:r>
        <w:r w:rsidR="00277FEB">
          <w:rPr>
            <w:noProof/>
            <w:webHidden/>
          </w:rPr>
          <w:fldChar w:fldCharType="begin"/>
        </w:r>
        <w:r w:rsidR="00277FEB">
          <w:rPr>
            <w:noProof/>
            <w:webHidden/>
          </w:rPr>
          <w:instrText xml:space="preserve"> PAGEREF _Toc10494471 \h </w:instrText>
        </w:r>
        <w:r w:rsidR="00277FEB">
          <w:rPr>
            <w:noProof/>
            <w:webHidden/>
          </w:rPr>
        </w:r>
        <w:r w:rsidR="00277FEB">
          <w:rPr>
            <w:noProof/>
            <w:webHidden/>
          </w:rPr>
          <w:fldChar w:fldCharType="separate"/>
        </w:r>
        <w:r>
          <w:rPr>
            <w:noProof/>
            <w:webHidden/>
          </w:rPr>
          <w:t>7</w:t>
        </w:r>
        <w:r w:rsidR="00277FEB">
          <w:rPr>
            <w:noProof/>
            <w:webHidden/>
          </w:rPr>
          <w:fldChar w:fldCharType="end"/>
        </w:r>
      </w:hyperlink>
    </w:p>
    <w:p w14:paraId="1FE1FBE7" w14:textId="097A7647" w:rsidR="00277FEB" w:rsidRDefault="00BC39E1">
      <w:pPr>
        <w:pStyle w:val="TOC4"/>
        <w:tabs>
          <w:tab w:val="right" w:leader="dot" w:pos="9062"/>
        </w:tabs>
        <w:rPr>
          <w:rFonts w:eastAsiaTheme="minorEastAsia"/>
          <w:noProof/>
          <w:sz w:val="22"/>
          <w:szCs w:val="22"/>
          <w:lang w:eastAsia="en-GB"/>
        </w:rPr>
      </w:pPr>
      <w:hyperlink w:anchor="_Toc10494472" w:history="1">
        <w:r w:rsidR="00277FEB" w:rsidRPr="00DA4BC5">
          <w:rPr>
            <w:rStyle w:val="Hyperlink"/>
            <w:noProof/>
          </w:rPr>
          <w:t>Derogations from data subject rights under the “immigration control exemption” are neither necessary nor proportionate</w:t>
        </w:r>
        <w:r w:rsidR="00277FEB">
          <w:rPr>
            <w:noProof/>
            <w:webHidden/>
          </w:rPr>
          <w:tab/>
        </w:r>
        <w:r w:rsidR="00277FEB">
          <w:rPr>
            <w:noProof/>
            <w:webHidden/>
          </w:rPr>
          <w:fldChar w:fldCharType="begin"/>
        </w:r>
        <w:r w:rsidR="00277FEB">
          <w:rPr>
            <w:noProof/>
            <w:webHidden/>
          </w:rPr>
          <w:instrText xml:space="preserve"> PAGEREF _Toc10494472 \h </w:instrText>
        </w:r>
        <w:r w:rsidR="00277FEB">
          <w:rPr>
            <w:noProof/>
            <w:webHidden/>
          </w:rPr>
        </w:r>
        <w:r w:rsidR="00277FEB">
          <w:rPr>
            <w:noProof/>
            <w:webHidden/>
          </w:rPr>
          <w:fldChar w:fldCharType="separate"/>
        </w:r>
        <w:r>
          <w:rPr>
            <w:noProof/>
            <w:webHidden/>
          </w:rPr>
          <w:t>8</w:t>
        </w:r>
        <w:r w:rsidR="00277FEB">
          <w:rPr>
            <w:noProof/>
            <w:webHidden/>
          </w:rPr>
          <w:fldChar w:fldCharType="end"/>
        </w:r>
      </w:hyperlink>
    </w:p>
    <w:p w14:paraId="3B8993E0" w14:textId="73E27402" w:rsidR="00277FEB" w:rsidRDefault="00BC39E1">
      <w:pPr>
        <w:pStyle w:val="TOC4"/>
        <w:tabs>
          <w:tab w:val="right" w:leader="dot" w:pos="9062"/>
        </w:tabs>
        <w:rPr>
          <w:rFonts w:eastAsiaTheme="minorEastAsia"/>
          <w:noProof/>
          <w:sz w:val="22"/>
          <w:szCs w:val="22"/>
          <w:lang w:eastAsia="en-GB"/>
        </w:rPr>
      </w:pPr>
      <w:hyperlink w:anchor="_Toc10494473" w:history="1">
        <w:r w:rsidR="00277FEB" w:rsidRPr="00DA4BC5">
          <w:rPr>
            <w:rStyle w:val="Hyperlink"/>
            <w:noProof/>
          </w:rPr>
          <w:t>In the context of the UK’s current “hostile environment”, the “immigration control exemption” risks supporting further violations of the fundamental rights and freedoms of affected individuals</w:t>
        </w:r>
        <w:r w:rsidR="00277FEB">
          <w:rPr>
            <w:noProof/>
            <w:webHidden/>
          </w:rPr>
          <w:tab/>
        </w:r>
        <w:r w:rsidR="00277FEB">
          <w:rPr>
            <w:noProof/>
            <w:webHidden/>
          </w:rPr>
          <w:fldChar w:fldCharType="begin"/>
        </w:r>
        <w:r w:rsidR="00277FEB">
          <w:rPr>
            <w:noProof/>
            <w:webHidden/>
          </w:rPr>
          <w:instrText xml:space="preserve"> PAGEREF _Toc10494473 \h </w:instrText>
        </w:r>
        <w:r w:rsidR="00277FEB">
          <w:rPr>
            <w:noProof/>
            <w:webHidden/>
          </w:rPr>
        </w:r>
        <w:r w:rsidR="00277FEB">
          <w:rPr>
            <w:noProof/>
            <w:webHidden/>
          </w:rPr>
          <w:fldChar w:fldCharType="separate"/>
        </w:r>
        <w:r>
          <w:rPr>
            <w:noProof/>
            <w:webHidden/>
          </w:rPr>
          <w:t>11</w:t>
        </w:r>
        <w:r w:rsidR="00277FEB">
          <w:rPr>
            <w:noProof/>
            <w:webHidden/>
          </w:rPr>
          <w:fldChar w:fldCharType="end"/>
        </w:r>
      </w:hyperlink>
    </w:p>
    <w:p w14:paraId="27FAD2BE" w14:textId="42ECCF46" w:rsidR="00277FEB" w:rsidRDefault="00BC39E1">
      <w:pPr>
        <w:pStyle w:val="TOC4"/>
        <w:tabs>
          <w:tab w:val="right" w:leader="dot" w:pos="9062"/>
        </w:tabs>
        <w:rPr>
          <w:rFonts w:eastAsiaTheme="minorEastAsia"/>
          <w:noProof/>
          <w:sz w:val="22"/>
          <w:szCs w:val="22"/>
          <w:lang w:eastAsia="en-GB"/>
        </w:rPr>
      </w:pPr>
      <w:hyperlink w:anchor="_Toc10494474" w:history="1">
        <w:r w:rsidR="00277FEB" w:rsidRPr="00DA4BC5">
          <w:rPr>
            <w:rStyle w:val="Hyperlink"/>
            <w:noProof/>
            <w:lang w:eastAsia="zh-CN"/>
          </w:rPr>
          <w:t>The “immigration control exemption” fails to establish the safeguards required under Article 23(2) GDPR</w:t>
        </w:r>
        <w:r w:rsidR="00277FEB">
          <w:rPr>
            <w:noProof/>
            <w:webHidden/>
          </w:rPr>
          <w:tab/>
        </w:r>
        <w:r w:rsidR="00277FEB">
          <w:rPr>
            <w:noProof/>
            <w:webHidden/>
          </w:rPr>
          <w:fldChar w:fldCharType="begin"/>
        </w:r>
        <w:r w:rsidR="00277FEB">
          <w:rPr>
            <w:noProof/>
            <w:webHidden/>
          </w:rPr>
          <w:instrText xml:space="preserve"> PAGEREF _Toc10494474 \h </w:instrText>
        </w:r>
        <w:r w:rsidR="00277FEB">
          <w:rPr>
            <w:noProof/>
            <w:webHidden/>
          </w:rPr>
        </w:r>
        <w:r w:rsidR="00277FEB">
          <w:rPr>
            <w:noProof/>
            <w:webHidden/>
          </w:rPr>
          <w:fldChar w:fldCharType="separate"/>
        </w:r>
        <w:r>
          <w:rPr>
            <w:noProof/>
            <w:webHidden/>
          </w:rPr>
          <w:t>14</w:t>
        </w:r>
        <w:r w:rsidR="00277FEB">
          <w:rPr>
            <w:noProof/>
            <w:webHidden/>
          </w:rPr>
          <w:fldChar w:fldCharType="end"/>
        </w:r>
      </w:hyperlink>
    </w:p>
    <w:p w14:paraId="5C7378BF" w14:textId="5540AA03" w:rsidR="00277FEB" w:rsidRDefault="00BC39E1">
      <w:pPr>
        <w:pStyle w:val="TOC4"/>
        <w:tabs>
          <w:tab w:val="right" w:leader="dot" w:pos="9062"/>
        </w:tabs>
        <w:rPr>
          <w:rFonts w:eastAsiaTheme="minorEastAsia"/>
          <w:noProof/>
          <w:sz w:val="22"/>
          <w:szCs w:val="22"/>
          <w:lang w:eastAsia="en-GB"/>
        </w:rPr>
      </w:pPr>
      <w:hyperlink w:anchor="_Toc10494475" w:history="1">
        <w:r w:rsidR="00277FEB" w:rsidRPr="00DA4BC5">
          <w:rPr>
            <w:rStyle w:val="Hyperlink"/>
            <w:noProof/>
          </w:rPr>
          <w:t>Conclusion</w:t>
        </w:r>
        <w:r w:rsidR="00277FEB">
          <w:rPr>
            <w:noProof/>
            <w:webHidden/>
          </w:rPr>
          <w:tab/>
        </w:r>
        <w:r w:rsidR="00277FEB">
          <w:rPr>
            <w:noProof/>
            <w:webHidden/>
          </w:rPr>
          <w:fldChar w:fldCharType="begin"/>
        </w:r>
        <w:r w:rsidR="00277FEB">
          <w:rPr>
            <w:noProof/>
            <w:webHidden/>
          </w:rPr>
          <w:instrText xml:space="preserve"> PAGEREF _Toc10494475 \h </w:instrText>
        </w:r>
        <w:r w:rsidR="00277FEB">
          <w:rPr>
            <w:noProof/>
            <w:webHidden/>
          </w:rPr>
        </w:r>
        <w:r w:rsidR="00277FEB">
          <w:rPr>
            <w:noProof/>
            <w:webHidden/>
          </w:rPr>
          <w:fldChar w:fldCharType="separate"/>
        </w:r>
        <w:r>
          <w:rPr>
            <w:noProof/>
            <w:webHidden/>
          </w:rPr>
          <w:t>15</w:t>
        </w:r>
        <w:r w:rsidR="00277FEB">
          <w:rPr>
            <w:noProof/>
            <w:webHidden/>
          </w:rPr>
          <w:fldChar w:fldCharType="end"/>
        </w:r>
      </w:hyperlink>
    </w:p>
    <w:p w14:paraId="54EC1A4B" w14:textId="1DF27A8C" w:rsidR="00277FEB" w:rsidRDefault="00BC39E1">
      <w:pPr>
        <w:pStyle w:val="TOC2"/>
        <w:tabs>
          <w:tab w:val="left" w:pos="660"/>
          <w:tab w:val="right" w:leader="dot" w:pos="9062"/>
        </w:tabs>
        <w:rPr>
          <w:rFonts w:eastAsiaTheme="minorEastAsia"/>
          <w:smallCaps w:val="0"/>
          <w:noProof/>
          <w:sz w:val="22"/>
          <w:szCs w:val="22"/>
          <w:lang w:eastAsia="en-GB"/>
        </w:rPr>
      </w:pPr>
      <w:hyperlink w:anchor="_Toc10494476" w:history="1">
        <w:r w:rsidR="00277FEB" w:rsidRPr="00DA4BC5">
          <w:rPr>
            <w:rStyle w:val="Hyperlink"/>
            <w:noProof/>
          </w:rPr>
          <w:t>5.</w:t>
        </w:r>
        <w:r w:rsidR="00277FEB">
          <w:rPr>
            <w:rFonts w:eastAsiaTheme="minorEastAsia"/>
            <w:smallCaps w:val="0"/>
            <w:noProof/>
            <w:sz w:val="22"/>
            <w:szCs w:val="22"/>
            <w:lang w:eastAsia="en-GB"/>
          </w:rPr>
          <w:tab/>
        </w:r>
        <w:r w:rsidR="00277FEB" w:rsidRPr="00DA4BC5">
          <w:rPr>
            <w:rStyle w:val="Hyperlink"/>
            <w:noProof/>
          </w:rPr>
          <w:t>Does your complaint relate to the EU Charter of Fundamental Rights, which applies only to the implementation of Union law (Article 51)?</w:t>
        </w:r>
        <w:r w:rsidR="00277FEB">
          <w:rPr>
            <w:noProof/>
            <w:webHidden/>
          </w:rPr>
          <w:tab/>
        </w:r>
        <w:r w:rsidR="00277FEB">
          <w:rPr>
            <w:noProof/>
            <w:webHidden/>
          </w:rPr>
          <w:fldChar w:fldCharType="begin"/>
        </w:r>
        <w:r w:rsidR="00277FEB">
          <w:rPr>
            <w:noProof/>
            <w:webHidden/>
          </w:rPr>
          <w:instrText xml:space="preserve"> PAGEREF _Toc10494476 \h </w:instrText>
        </w:r>
        <w:r w:rsidR="00277FEB">
          <w:rPr>
            <w:noProof/>
            <w:webHidden/>
          </w:rPr>
        </w:r>
        <w:r w:rsidR="00277FEB">
          <w:rPr>
            <w:noProof/>
            <w:webHidden/>
          </w:rPr>
          <w:fldChar w:fldCharType="separate"/>
        </w:r>
        <w:r>
          <w:rPr>
            <w:noProof/>
            <w:webHidden/>
          </w:rPr>
          <w:t>16</w:t>
        </w:r>
        <w:r w:rsidR="00277FEB">
          <w:rPr>
            <w:noProof/>
            <w:webHidden/>
          </w:rPr>
          <w:fldChar w:fldCharType="end"/>
        </w:r>
      </w:hyperlink>
    </w:p>
    <w:p w14:paraId="00B98019" w14:textId="63E5E37C" w:rsidR="00277FEB" w:rsidRDefault="00BC39E1">
      <w:pPr>
        <w:pStyle w:val="TOC2"/>
        <w:tabs>
          <w:tab w:val="left" w:pos="660"/>
          <w:tab w:val="right" w:leader="dot" w:pos="9062"/>
        </w:tabs>
        <w:rPr>
          <w:rFonts w:eastAsiaTheme="minorEastAsia"/>
          <w:smallCaps w:val="0"/>
          <w:noProof/>
          <w:sz w:val="22"/>
          <w:szCs w:val="22"/>
          <w:lang w:eastAsia="en-GB"/>
        </w:rPr>
      </w:pPr>
      <w:hyperlink w:anchor="_Toc10494477" w:history="1">
        <w:r w:rsidR="00277FEB" w:rsidRPr="00DA4BC5">
          <w:rPr>
            <w:rStyle w:val="Hyperlink"/>
            <w:noProof/>
          </w:rPr>
          <w:t>6.</w:t>
        </w:r>
        <w:r w:rsidR="00277FEB">
          <w:rPr>
            <w:rFonts w:eastAsiaTheme="minorEastAsia"/>
            <w:smallCaps w:val="0"/>
            <w:noProof/>
            <w:sz w:val="22"/>
            <w:szCs w:val="22"/>
            <w:lang w:eastAsia="en-GB"/>
          </w:rPr>
          <w:tab/>
        </w:r>
        <w:r w:rsidR="00277FEB" w:rsidRPr="00DA4BC5">
          <w:rPr>
            <w:rStyle w:val="Hyperlink"/>
            <w:noProof/>
          </w:rPr>
          <w:t>If possible, please provide a list of documents or evidence in support of your complaint (including the national measures concerned) that you can send to the Commission if it so requests:</w:t>
        </w:r>
        <w:r w:rsidR="00277FEB">
          <w:rPr>
            <w:noProof/>
            <w:webHidden/>
          </w:rPr>
          <w:tab/>
        </w:r>
        <w:r w:rsidR="00277FEB">
          <w:rPr>
            <w:noProof/>
            <w:webHidden/>
          </w:rPr>
          <w:fldChar w:fldCharType="begin"/>
        </w:r>
        <w:r w:rsidR="00277FEB">
          <w:rPr>
            <w:noProof/>
            <w:webHidden/>
          </w:rPr>
          <w:instrText xml:space="preserve"> PAGEREF _Toc10494477 \h </w:instrText>
        </w:r>
        <w:r w:rsidR="00277FEB">
          <w:rPr>
            <w:noProof/>
            <w:webHidden/>
          </w:rPr>
        </w:r>
        <w:r w:rsidR="00277FEB">
          <w:rPr>
            <w:noProof/>
            <w:webHidden/>
          </w:rPr>
          <w:fldChar w:fldCharType="separate"/>
        </w:r>
        <w:r>
          <w:rPr>
            <w:noProof/>
            <w:webHidden/>
          </w:rPr>
          <w:t>17</w:t>
        </w:r>
        <w:r w:rsidR="00277FEB">
          <w:rPr>
            <w:noProof/>
            <w:webHidden/>
          </w:rPr>
          <w:fldChar w:fldCharType="end"/>
        </w:r>
      </w:hyperlink>
    </w:p>
    <w:p w14:paraId="6773F22E" w14:textId="4F9B5E68" w:rsidR="00277FEB" w:rsidRDefault="00BC39E1">
      <w:pPr>
        <w:pStyle w:val="TOC1"/>
        <w:tabs>
          <w:tab w:val="left" w:pos="440"/>
          <w:tab w:val="right" w:leader="dot" w:pos="9062"/>
        </w:tabs>
        <w:rPr>
          <w:rFonts w:eastAsiaTheme="minorEastAsia"/>
          <w:b w:val="0"/>
          <w:bCs w:val="0"/>
          <w:caps w:val="0"/>
          <w:noProof/>
          <w:sz w:val="22"/>
          <w:szCs w:val="22"/>
          <w:lang w:eastAsia="en-GB"/>
        </w:rPr>
      </w:pPr>
      <w:hyperlink w:anchor="_Toc10494478" w:history="1">
        <w:r w:rsidR="00277FEB" w:rsidRPr="00DA4BC5">
          <w:rPr>
            <w:rStyle w:val="Hyperlink"/>
            <w:noProof/>
          </w:rPr>
          <w:t>III.</w:t>
        </w:r>
        <w:r w:rsidR="00277FEB">
          <w:rPr>
            <w:rFonts w:eastAsiaTheme="minorEastAsia"/>
            <w:b w:val="0"/>
            <w:bCs w:val="0"/>
            <w:caps w:val="0"/>
            <w:noProof/>
            <w:sz w:val="22"/>
            <w:szCs w:val="22"/>
            <w:lang w:eastAsia="en-GB"/>
          </w:rPr>
          <w:tab/>
        </w:r>
        <w:r w:rsidR="00277FEB" w:rsidRPr="00DA4BC5">
          <w:rPr>
            <w:rStyle w:val="Hyperlink"/>
            <w:noProof/>
          </w:rPr>
          <w:t>APPEALS / LEGAL ACTIONS / OTHER ACTIONS</w:t>
        </w:r>
        <w:r w:rsidR="00277FEB">
          <w:rPr>
            <w:noProof/>
            <w:webHidden/>
          </w:rPr>
          <w:tab/>
        </w:r>
        <w:r w:rsidR="00277FEB">
          <w:rPr>
            <w:noProof/>
            <w:webHidden/>
          </w:rPr>
          <w:fldChar w:fldCharType="begin"/>
        </w:r>
        <w:r w:rsidR="00277FEB">
          <w:rPr>
            <w:noProof/>
            <w:webHidden/>
          </w:rPr>
          <w:instrText xml:space="preserve"> PAGEREF _Toc10494478 \h </w:instrText>
        </w:r>
        <w:r w:rsidR="00277FEB">
          <w:rPr>
            <w:noProof/>
            <w:webHidden/>
          </w:rPr>
        </w:r>
        <w:r w:rsidR="00277FEB">
          <w:rPr>
            <w:noProof/>
            <w:webHidden/>
          </w:rPr>
          <w:fldChar w:fldCharType="separate"/>
        </w:r>
        <w:r>
          <w:rPr>
            <w:noProof/>
            <w:webHidden/>
          </w:rPr>
          <w:t>17</w:t>
        </w:r>
        <w:r w:rsidR="00277FEB">
          <w:rPr>
            <w:noProof/>
            <w:webHidden/>
          </w:rPr>
          <w:fldChar w:fldCharType="end"/>
        </w:r>
      </w:hyperlink>
    </w:p>
    <w:p w14:paraId="661ECA44" w14:textId="77777777" w:rsidR="00DD417E" w:rsidRPr="00FC077F" w:rsidRDefault="00DD417E" w:rsidP="00BB18A8">
      <w:pPr>
        <w:rPr>
          <w:rFonts w:ascii="Franklin Gothic Book" w:hAnsi="Franklin Gothic Book" w:cs="Times New Roman"/>
          <w:b/>
          <w:caps/>
          <w:u w:val="single"/>
        </w:rPr>
      </w:pPr>
      <w:r w:rsidRPr="00FC077F">
        <w:rPr>
          <w:rFonts w:ascii="Franklin Gothic Book" w:hAnsi="Franklin Gothic Book" w:cs="Times New Roman"/>
          <w:b/>
          <w:caps/>
          <w:u w:val="single"/>
        </w:rPr>
        <w:fldChar w:fldCharType="end"/>
      </w:r>
    </w:p>
    <w:p w14:paraId="46428C29" w14:textId="77777777" w:rsidR="00F671C6" w:rsidRPr="00FC077F" w:rsidRDefault="00F671C6">
      <w:pPr>
        <w:rPr>
          <w:rFonts w:ascii="Franklin Gothic Book" w:hAnsi="Franklin Gothic Book" w:cs="Times New Roman"/>
          <w:b/>
          <w:caps/>
          <w:u w:val="single"/>
        </w:rPr>
      </w:pPr>
      <w:r w:rsidRPr="00FC077F">
        <w:rPr>
          <w:rFonts w:ascii="Franklin Gothic Book" w:hAnsi="Franklin Gothic Book" w:cs="Times New Roman"/>
          <w:b/>
          <w:caps/>
          <w:u w:val="single"/>
        </w:rPr>
        <w:br w:type="page"/>
      </w:r>
    </w:p>
    <w:p w14:paraId="0207EB99" w14:textId="77777777" w:rsidR="00777F44" w:rsidRPr="00FC077F" w:rsidRDefault="00777F44" w:rsidP="00B424BE">
      <w:pPr>
        <w:pStyle w:val="Heading1"/>
        <w:rPr>
          <w:rStyle w:val="Heading1Char"/>
          <w:b/>
          <w:szCs w:val="22"/>
        </w:rPr>
      </w:pPr>
      <w:bookmarkStart w:id="1" w:name="_Toc10494460"/>
      <w:r w:rsidRPr="00FC077F">
        <w:rPr>
          <w:rStyle w:val="Heading1Char"/>
          <w:b/>
          <w:szCs w:val="22"/>
        </w:rPr>
        <w:lastRenderedPageBreak/>
        <w:t>IDENTITY AND CONTACT DETAILS OF COMPLAINANT AND THEIR REPRESENTATIVE</w:t>
      </w:r>
      <w:bookmarkEnd w:id="1"/>
    </w:p>
    <w:p w14:paraId="04E5F2E0" w14:textId="77777777" w:rsidR="005E7905" w:rsidRPr="00FC077F" w:rsidRDefault="005E7905" w:rsidP="005E7905">
      <w:pPr>
        <w:rPr>
          <w:rFonts w:ascii="Franklin Gothic Book" w:hAnsi="Franklin Gothic Book" w:cs="Times New Roman"/>
        </w:rPr>
      </w:pPr>
    </w:p>
    <w:p w14:paraId="04A327E4" w14:textId="77777777" w:rsidR="00777F44" w:rsidRDefault="00777F44" w:rsidP="00B424BE">
      <w:pPr>
        <w:pStyle w:val="Heading2"/>
      </w:pPr>
      <w:bookmarkStart w:id="2" w:name="_Toc10494461"/>
      <w:r w:rsidRPr="00FC077F">
        <w:t>Representative’s contact details</w:t>
      </w:r>
      <w:bookmarkEnd w:id="2"/>
    </w:p>
    <w:p w14:paraId="023DF5E4" w14:textId="77777777" w:rsidR="00514666" w:rsidRPr="00514666" w:rsidRDefault="00514666" w:rsidP="00514666">
      <w:pPr>
        <w:rPr>
          <w:lang w:val="en-US"/>
        </w:rPr>
      </w:pPr>
    </w:p>
    <w:p w14:paraId="1E0EEC86" w14:textId="77777777" w:rsidR="00A52FA0" w:rsidRPr="00FC077F" w:rsidRDefault="00777F44" w:rsidP="00727521">
      <w:pPr>
        <w:spacing w:line="240" w:lineRule="auto"/>
        <w:ind w:left="567" w:hanging="567"/>
        <w:jc w:val="both"/>
        <w:rPr>
          <w:rFonts w:ascii="Franklin Gothic Book" w:hAnsi="Franklin Gothic Book" w:cs="Times New Roman"/>
        </w:rPr>
      </w:pPr>
      <w:r w:rsidRPr="00FC077F">
        <w:rPr>
          <w:rFonts w:ascii="Franklin Gothic Book" w:hAnsi="Franklin Gothic Book" w:cs="Times New Roman"/>
          <w:u w:val="single"/>
        </w:rPr>
        <w:t>Name of organisation:</w:t>
      </w:r>
      <w:r w:rsidRPr="00FC077F">
        <w:rPr>
          <w:rFonts w:ascii="Franklin Gothic Book" w:hAnsi="Franklin Gothic Book" w:cs="Times New Roman"/>
        </w:rPr>
        <w:t xml:space="preserve"> </w:t>
      </w:r>
      <w:r w:rsidR="00A31619" w:rsidRPr="00FC077F">
        <w:rPr>
          <w:rFonts w:ascii="Franklin Gothic Book" w:hAnsi="Franklin Gothic Book" w:cs="Times New Roman"/>
        </w:rPr>
        <w:t xml:space="preserve">Platform for International Cooperation on Undocumented Migrants </w:t>
      </w:r>
    </w:p>
    <w:p w14:paraId="3D948233" w14:textId="77777777" w:rsidR="00A31619" w:rsidRPr="00FC077F" w:rsidRDefault="00A31619" w:rsidP="00727521">
      <w:pPr>
        <w:spacing w:line="240" w:lineRule="auto"/>
        <w:ind w:left="567" w:hanging="567"/>
        <w:jc w:val="both"/>
        <w:rPr>
          <w:rFonts w:ascii="Franklin Gothic Book" w:hAnsi="Franklin Gothic Book" w:cs="Times New Roman"/>
          <w:u w:val="single"/>
        </w:rPr>
      </w:pPr>
      <w:r w:rsidRPr="00FC077F">
        <w:rPr>
          <w:rFonts w:ascii="Franklin Gothic Book" w:hAnsi="Franklin Gothic Book" w:cs="Times New Roman"/>
        </w:rPr>
        <w:t>(PICUM)</w:t>
      </w:r>
    </w:p>
    <w:p w14:paraId="0553C299" w14:textId="77777777" w:rsidR="00777F44" w:rsidRPr="00FC077F" w:rsidRDefault="00777F44" w:rsidP="00727521">
      <w:pPr>
        <w:spacing w:line="240" w:lineRule="auto"/>
        <w:jc w:val="both"/>
        <w:rPr>
          <w:rFonts w:ascii="Franklin Gothic Book" w:hAnsi="Franklin Gothic Book" w:cs="Times New Roman"/>
          <w:u w:val="single"/>
        </w:rPr>
      </w:pPr>
      <w:r w:rsidRPr="00FC077F">
        <w:rPr>
          <w:rFonts w:ascii="Franklin Gothic Book" w:hAnsi="Franklin Gothic Book" w:cs="Times New Roman"/>
          <w:u w:val="single"/>
        </w:rPr>
        <w:t>Name and Surname of legal representative:</w:t>
      </w:r>
      <w:r w:rsidRPr="00FC077F">
        <w:rPr>
          <w:rFonts w:ascii="Franklin Gothic Book" w:hAnsi="Franklin Gothic Book" w:cs="Times New Roman"/>
        </w:rPr>
        <w:t xml:space="preserve"> </w:t>
      </w:r>
      <w:r w:rsidR="00A10F06" w:rsidRPr="00FC077F">
        <w:rPr>
          <w:rFonts w:ascii="Franklin Gothic Book" w:hAnsi="Franklin Gothic Book" w:cs="Times New Roman"/>
        </w:rPr>
        <w:t xml:space="preserve"> </w:t>
      </w:r>
      <w:r w:rsidR="00003A55" w:rsidRPr="00FC077F">
        <w:rPr>
          <w:rFonts w:ascii="Franklin Gothic Book" w:hAnsi="Franklin Gothic Book" w:cs="Times New Roman"/>
        </w:rPr>
        <w:t xml:space="preserve">Michele </w:t>
      </w:r>
      <w:proofErr w:type="spellStart"/>
      <w:r w:rsidR="00003A55" w:rsidRPr="00FC077F">
        <w:rPr>
          <w:rFonts w:ascii="Franklin Gothic Book" w:hAnsi="Franklin Gothic Book" w:cs="Times New Roman"/>
        </w:rPr>
        <w:t>LeVoy</w:t>
      </w:r>
      <w:proofErr w:type="spellEnd"/>
      <w:r w:rsidR="00003A55" w:rsidRPr="00FC077F">
        <w:rPr>
          <w:rFonts w:ascii="Franklin Gothic Book" w:hAnsi="Franklin Gothic Book" w:cs="Times New Roman"/>
        </w:rPr>
        <w:t>, Director, PICUM</w:t>
      </w:r>
    </w:p>
    <w:p w14:paraId="795D1E20" w14:textId="77777777" w:rsidR="00A31619" w:rsidRPr="00FC077F" w:rsidRDefault="00777F44" w:rsidP="00727521">
      <w:pPr>
        <w:spacing w:line="240" w:lineRule="auto"/>
        <w:ind w:left="567" w:hanging="567"/>
        <w:jc w:val="both"/>
        <w:rPr>
          <w:rFonts w:ascii="Franklin Gothic Book" w:hAnsi="Franklin Gothic Book" w:cs="Times New Roman"/>
          <w:bCs/>
          <w:u w:val="single"/>
          <w:lang w:val="fr-BE"/>
        </w:rPr>
      </w:pPr>
      <w:proofErr w:type="spellStart"/>
      <w:proofErr w:type="gramStart"/>
      <w:r w:rsidRPr="00FC077F">
        <w:rPr>
          <w:rFonts w:ascii="Franklin Gothic Book" w:hAnsi="Franklin Gothic Book" w:cs="Times New Roman"/>
          <w:bCs/>
          <w:u w:val="single"/>
          <w:lang w:val="fr-BE"/>
        </w:rPr>
        <w:t>Address</w:t>
      </w:r>
      <w:proofErr w:type="spellEnd"/>
      <w:r w:rsidRPr="00FC077F">
        <w:rPr>
          <w:rFonts w:ascii="Franklin Gothic Book" w:hAnsi="Franklin Gothic Book" w:cs="Times New Roman"/>
          <w:bCs/>
          <w:u w:val="single"/>
          <w:lang w:val="fr-BE"/>
        </w:rPr>
        <w:t>:</w:t>
      </w:r>
      <w:proofErr w:type="gramEnd"/>
      <w:r w:rsidR="00E84ECD" w:rsidRPr="00FC077F">
        <w:rPr>
          <w:rFonts w:ascii="Franklin Gothic Book" w:hAnsi="Franklin Gothic Book" w:cs="Times New Roman"/>
          <w:bCs/>
          <w:lang w:val="fr-BE"/>
        </w:rPr>
        <w:t xml:space="preserve"> </w:t>
      </w:r>
      <w:r w:rsidR="00A31619" w:rsidRPr="00FC077F">
        <w:rPr>
          <w:rFonts w:ascii="Franklin Gothic Book" w:hAnsi="Franklin Gothic Book" w:cs="Times New Roman"/>
          <w:lang w:val="fr-BE"/>
        </w:rPr>
        <w:t>37-41 rue du Congrès</w:t>
      </w:r>
    </w:p>
    <w:p w14:paraId="0459BAD3" w14:textId="77777777" w:rsidR="00777F44" w:rsidRPr="00FC077F" w:rsidRDefault="00777F44" w:rsidP="00727521">
      <w:pPr>
        <w:spacing w:line="240" w:lineRule="auto"/>
        <w:jc w:val="both"/>
        <w:rPr>
          <w:rFonts w:ascii="Franklin Gothic Book" w:hAnsi="Franklin Gothic Book" w:cs="Times New Roman"/>
          <w:bCs/>
          <w:u w:val="single"/>
          <w:lang w:val="fr-BE"/>
        </w:rPr>
      </w:pPr>
      <w:proofErr w:type="gramStart"/>
      <w:r w:rsidRPr="00FC077F">
        <w:rPr>
          <w:rFonts w:ascii="Franklin Gothic Book" w:hAnsi="Franklin Gothic Book" w:cs="Times New Roman"/>
          <w:bCs/>
          <w:u w:val="single"/>
          <w:lang w:val="fr-BE"/>
        </w:rPr>
        <w:t>Town:</w:t>
      </w:r>
      <w:proofErr w:type="gramEnd"/>
      <w:r w:rsidR="00E84ECD" w:rsidRPr="00FC077F">
        <w:rPr>
          <w:rFonts w:ascii="Franklin Gothic Book" w:hAnsi="Franklin Gothic Book" w:cs="Times New Roman"/>
          <w:bCs/>
          <w:lang w:val="fr-BE"/>
        </w:rPr>
        <w:t xml:space="preserve"> </w:t>
      </w:r>
      <w:r w:rsidR="00A31619" w:rsidRPr="00FC077F">
        <w:rPr>
          <w:rFonts w:ascii="Franklin Gothic Book" w:hAnsi="Franklin Gothic Book" w:cs="Times New Roman"/>
          <w:bCs/>
          <w:lang w:val="fr-BE"/>
        </w:rPr>
        <w:t>Brussels</w:t>
      </w:r>
    </w:p>
    <w:p w14:paraId="0160D43F" w14:textId="77777777" w:rsidR="00777F44" w:rsidRPr="00FC077F" w:rsidRDefault="00E84ECD" w:rsidP="00727521">
      <w:pPr>
        <w:spacing w:line="240" w:lineRule="auto"/>
        <w:ind w:left="567" w:hanging="567"/>
        <w:jc w:val="both"/>
        <w:rPr>
          <w:rFonts w:ascii="Franklin Gothic Book" w:hAnsi="Franklin Gothic Book" w:cs="Times New Roman"/>
          <w:bCs/>
          <w:u w:val="single"/>
        </w:rPr>
      </w:pPr>
      <w:r w:rsidRPr="00FC077F">
        <w:rPr>
          <w:rFonts w:ascii="Franklin Gothic Book" w:hAnsi="Franklin Gothic Book" w:cs="Times New Roman"/>
          <w:bCs/>
          <w:u w:val="single"/>
        </w:rPr>
        <w:t>Postcode:</w:t>
      </w:r>
      <w:r w:rsidRPr="00FC077F">
        <w:rPr>
          <w:rFonts w:ascii="Franklin Gothic Book" w:hAnsi="Franklin Gothic Book" w:cs="Times New Roman"/>
          <w:bCs/>
        </w:rPr>
        <w:t xml:space="preserve"> </w:t>
      </w:r>
      <w:r w:rsidR="00A31619" w:rsidRPr="00FC077F">
        <w:rPr>
          <w:rFonts w:ascii="Franklin Gothic Book" w:hAnsi="Franklin Gothic Book" w:cs="Times New Roman"/>
          <w:bCs/>
        </w:rPr>
        <w:t>1030</w:t>
      </w:r>
    </w:p>
    <w:p w14:paraId="7ABB3313" w14:textId="77777777" w:rsidR="00777F44" w:rsidRPr="00FC077F" w:rsidRDefault="00E84ECD" w:rsidP="00727521">
      <w:pPr>
        <w:spacing w:line="240" w:lineRule="auto"/>
        <w:ind w:left="567" w:hanging="567"/>
        <w:jc w:val="both"/>
        <w:rPr>
          <w:rFonts w:ascii="Franklin Gothic Book" w:hAnsi="Franklin Gothic Book" w:cs="Times New Roman"/>
          <w:bCs/>
          <w:u w:val="single"/>
        </w:rPr>
      </w:pPr>
      <w:r w:rsidRPr="00FC077F">
        <w:rPr>
          <w:rFonts w:ascii="Franklin Gothic Book" w:hAnsi="Franklin Gothic Book" w:cs="Times New Roman"/>
          <w:bCs/>
          <w:u w:val="single"/>
        </w:rPr>
        <w:t>Country:</w:t>
      </w:r>
      <w:r w:rsidRPr="00FC077F">
        <w:rPr>
          <w:rFonts w:ascii="Franklin Gothic Book" w:hAnsi="Franklin Gothic Book" w:cs="Times New Roman"/>
          <w:bCs/>
        </w:rPr>
        <w:t xml:space="preserve"> </w:t>
      </w:r>
      <w:r w:rsidR="00A31619" w:rsidRPr="00FC077F">
        <w:rPr>
          <w:rFonts w:ascii="Franklin Gothic Book" w:hAnsi="Franklin Gothic Book" w:cs="Times New Roman"/>
          <w:bCs/>
        </w:rPr>
        <w:t>BELGIUM</w:t>
      </w:r>
    </w:p>
    <w:p w14:paraId="7AA356F6" w14:textId="77777777" w:rsidR="00777F44" w:rsidRPr="00FC077F" w:rsidRDefault="00E84ECD" w:rsidP="00727521">
      <w:pPr>
        <w:spacing w:line="240" w:lineRule="auto"/>
        <w:ind w:left="567" w:hanging="567"/>
        <w:jc w:val="both"/>
        <w:rPr>
          <w:rFonts w:ascii="Franklin Gothic Book" w:hAnsi="Franklin Gothic Book" w:cs="Times New Roman"/>
          <w:u w:val="single"/>
        </w:rPr>
      </w:pPr>
      <w:r w:rsidRPr="00FC077F">
        <w:rPr>
          <w:rFonts w:ascii="Franklin Gothic Book" w:hAnsi="Franklin Gothic Book" w:cs="Times New Roman"/>
          <w:u w:val="single"/>
        </w:rPr>
        <w:t>Telephone:</w:t>
      </w:r>
      <w:r w:rsidRPr="00FC077F">
        <w:rPr>
          <w:rFonts w:ascii="Franklin Gothic Book" w:hAnsi="Franklin Gothic Book" w:cs="Times New Roman"/>
        </w:rPr>
        <w:t xml:space="preserve"> </w:t>
      </w:r>
      <w:r w:rsidR="00A31619" w:rsidRPr="00FC077F">
        <w:rPr>
          <w:rFonts w:ascii="Franklin Gothic Book" w:hAnsi="Franklin Gothic Book" w:cs="Times New Roman"/>
          <w:caps/>
        </w:rPr>
        <w:t>+ 32 2 210 178</w:t>
      </w:r>
      <w:r w:rsidR="00003A55" w:rsidRPr="00FC077F">
        <w:rPr>
          <w:rFonts w:ascii="Franklin Gothic Book" w:hAnsi="Franklin Gothic Book" w:cs="Times New Roman"/>
          <w:caps/>
        </w:rPr>
        <w:t>0</w:t>
      </w:r>
    </w:p>
    <w:p w14:paraId="674C18DF" w14:textId="77777777" w:rsidR="00A31619" w:rsidRPr="00FC077F" w:rsidRDefault="00E84ECD" w:rsidP="00727521">
      <w:pPr>
        <w:spacing w:line="240" w:lineRule="auto"/>
        <w:ind w:left="567" w:hanging="567"/>
        <w:jc w:val="both"/>
        <w:rPr>
          <w:rFonts w:ascii="Franklin Gothic Book" w:hAnsi="Franklin Gothic Book" w:cs="Times New Roman"/>
          <w:u w:val="single"/>
        </w:rPr>
      </w:pPr>
      <w:r w:rsidRPr="00FC077F">
        <w:rPr>
          <w:rFonts w:ascii="Franklin Gothic Book" w:hAnsi="Franklin Gothic Book" w:cs="Times New Roman"/>
          <w:u w:val="single"/>
        </w:rPr>
        <w:t>Fax:</w:t>
      </w:r>
      <w:r w:rsidRPr="00FC077F">
        <w:rPr>
          <w:rFonts w:ascii="Franklin Gothic Book" w:hAnsi="Franklin Gothic Book" w:cs="Times New Roman"/>
        </w:rPr>
        <w:t xml:space="preserve"> </w:t>
      </w:r>
      <w:r w:rsidR="00A31619" w:rsidRPr="00FC077F">
        <w:rPr>
          <w:rFonts w:ascii="Franklin Gothic Book" w:hAnsi="Franklin Gothic Book" w:cs="Times New Roman"/>
        </w:rPr>
        <w:t>+32 2 210 1789</w:t>
      </w:r>
    </w:p>
    <w:p w14:paraId="6D630670" w14:textId="77777777" w:rsidR="00777F44" w:rsidRPr="00BC39E1" w:rsidRDefault="00777F44" w:rsidP="00727521">
      <w:pPr>
        <w:spacing w:line="240" w:lineRule="auto"/>
        <w:jc w:val="both"/>
        <w:rPr>
          <w:rFonts w:ascii="Franklin Gothic Book" w:hAnsi="Franklin Gothic Book" w:cs="Times New Roman"/>
          <w:bCs/>
          <w:lang w:val="fr-BE"/>
        </w:rPr>
      </w:pPr>
      <w:proofErr w:type="gramStart"/>
      <w:r w:rsidRPr="00BC39E1">
        <w:rPr>
          <w:rFonts w:ascii="Franklin Gothic Book" w:hAnsi="Franklin Gothic Book" w:cs="Times New Roman"/>
          <w:u w:val="single"/>
          <w:lang w:val="fr-BE"/>
        </w:rPr>
        <w:t>E-mail:</w:t>
      </w:r>
      <w:proofErr w:type="gramEnd"/>
      <w:r w:rsidR="00E84ECD" w:rsidRPr="00BC39E1">
        <w:rPr>
          <w:rFonts w:ascii="Franklin Gothic Book" w:hAnsi="Franklin Gothic Book" w:cs="Times New Roman"/>
          <w:lang w:val="fr-BE"/>
        </w:rPr>
        <w:t xml:space="preserve"> </w:t>
      </w:r>
      <w:hyperlink r:id="rId8" w:history="1">
        <w:r w:rsidR="00C078F3" w:rsidRPr="00BC39E1">
          <w:rPr>
            <w:rStyle w:val="Hyperlink"/>
            <w:rFonts w:ascii="Franklin Gothic Book" w:hAnsi="Franklin Gothic Book" w:cs="Times New Roman"/>
            <w:bCs/>
            <w:lang w:val="fr-BE"/>
          </w:rPr>
          <w:t>alyna.smith@picum.org</w:t>
        </w:r>
      </w:hyperlink>
    </w:p>
    <w:p w14:paraId="0AFAF851" w14:textId="77777777" w:rsidR="00C078F3" w:rsidRPr="00BC39E1" w:rsidRDefault="00C078F3" w:rsidP="00C078F3">
      <w:pPr>
        <w:spacing w:after="0" w:line="240" w:lineRule="auto"/>
        <w:jc w:val="both"/>
        <w:rPr>
          <w:rFonts w:ascii="Franklin Gothic Book" w:hAnsi="Franklin Gothic Book" w:cs="Times New Roman"/>
          <w:u w:val="single"/>
          <w:lang w:val="fr-BE"/>
        </w:rPr>
      </w:pPr>
    </w:p>
    <w:p w14:paraId="5914F831" w14:textId="77777777" w:rsidR="00777F44" w:rsidRPr="00FC077F" w:rsidRDefault="00777F44" w:rsidP="0085603C">
      <w:pPr>
        <w:pStyle w:val="Heading2"/>
      </w:pPr>
      <w:bookmarkStart w:id="3" w:name="_Toc10494462"/>
      <w:r w:rsidRPr="00FC077F">
        <w:t>I am submitting this complaint on behalf of someone else:</w:t>
      </w:r>
      <w:bookmarkEnd w:id="3"/>
    </w:p>
    <w:p w14:paraId="1482558E" w14:textId="77777777" w:rsidR="00727521" w:rsidRPr="00FC077F" w:rsidRDefault="00727521" w:rsidP="00727521">
      <w:pPr>
        <w:spacing w:line="240" w:lineRule="auto"/>
        <w:ind w:left="567" w:hanging="567"/>
        <w:jc w:val="both"/>
        <w:rPr>
          <w:rFonts w:ascii="Franklin Gothic Book" w:hAnsi="Franklin Gothic Book" w:cs="Times New Roman"/>
          <w:u w:val="single"/>
        </w:rPr>
      </w:pPr>
    </w:p>
    <w:p w14:paraId="6718F5AF" w14:textId="77777777" w:rsidR="00777F44" w:rsidRPr="00FC077F" w:rsidRDefault="00777F44" w:rsidP="00727521">
      <w:pPr>
        <w:spacing w:line="240" w:lineRule="auto"/>
        <w:ind w:left="567" w:hanging="567"/>
        <w:jc w:val="both"/>
        <w:rPr>
          <w:rFonts w:ascii="Franklin Gothic Book" w:hAnsi="Franklin Gothic Book" w:cs="Times New Roman"/>
          <w:u w:val="single"/>
        </w:rPr>
      </w:pPr>
      <w:r w:rsidRPr="00FC077F">
        <w:rPr>
          <w:rFonts w:ascii="Franklin Gothic Book" w:hAnsi="Franklin Gothic Book" w:cs="Times New Roman"/>
          <w:u w:val="single"/>
        </w:rPr>
        <w:t>Yes</w:t>
      </w:r>
      <w:r w:rsidRPr="00FC077F">
        <w:rPr>
          <w:rFonts w:ascii="Franklin Gothic Book" w:hAnsi="Franklin Gothic Book" w:cs="Times New Roman"/>
        </w:rPr>
        <w:t xml:space="preserve"> </w:t>
      </w: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 xml:space="preserve">  </w:t>
      </w:r>
      <w:r w:rsidRPr="00FC077F">
        <w:rPr>
          <w:rFonts w:ascii="Franklin Gothic Book" w:hAnsi="Franklin Gothic Book" w:cs="Times New Roman"/>
          <w:u w:val="single"/>
        </w:rPr>
        <w:t>No</w:t>
      </w:r>
      <w:r w:rsidRPr="00FC077F">
        <w:rPr>
          <w:rFonts w:ascii="Franklin Gothic Book" w:hAnsi="Franklin Gothic Book" w:cs="Times New Roman"/>
        </w:rPr>
        <w:t xml:space="preserve"> ( </w:t>
      </w:r>
      <w:r w:rsidR="00727521" w:rsidRPr="00FC077F">
        <w:rPr>
          <w:rFonts w:ascii="Franklin Gothic Book" w:hAnsi="Franklin Gothic Book" w:cs="Times New Roman"/>
        </w:rPr>
        <w:t>X</w:t>
      </w:r>
      <w:r w:rsidRPr="00FC077F">
        <w:rPr>
          <w:rFonts w:ascii="Franklin Gothic Book" w:hAnsi="Franklin Gothic Book" w:cs="Times New Roman"/>
        </w:rPr>
        <w:t xml:space="preserve"> )</w:t>
      </w:r>
    </w:p>
    <w:p w14:paraId="43963741" w14:textId="77777777" w:rsidR="00777F44" w:rsidRPr="00FC077F" w:rsidRDefault="00777F44" w:rsidP="00C078F3">
      <w:pPr>
        <w:spacing w:after="0" w:line="240" w:lineRule="auto"/>
        <w:jc w:val="both"/>
        <w:rPr>
          <w:rFonts w:ascii="Franklin Gothic Book" w:hAnsi="Franklin Gothic Book" w:cs="Times New Roman"/>
        </w:rPr>
      </w:pPr>
    </w:p>
    <w:p w14:paraId="74D29C0A" w14:textId="77777777" w:rsidR="00C078F3" w:rsidRPr="00FC077F" w:rsidRDefault="00C078F3" w:rsidP="00C078F3">
      <w:pPr>
        <w:spacing w:after="0" w:line="240" w:lineRule="auto"/>
        <w:jc w:val="both"/>
        <w:rPr>
          <w:rFonts w:ascii="Franklin Gothic Book" w:hAnsi="Franklin Gothic Book" w:cs="Times New Roman"/>
        </w:rPr>
      </w:pPr>
    </w:p>
    <w:p w14:paraId="4EB92D42" w14:textId="77777777" w:rsidR="00777F44" w:rsidRPr="00FC077F" w:rsidRDefault="00777F44" w:rsidP="0085603C">
      <w:pPr>
        <w:pStyle w:val="Heading2"/>
      </w:pPr>
      <w:bookmarkStart w:id="4" w:name="_Toc10494463"/>
      <w:r w:rsidRPr="00FC077F">
        <w:t>Correspondence from the Commission can be sent to the complainant or t</w:t>
      </w:r>
      <w:r w:rsidR="00E84ECD" w:rsidRPr="00FC077F">
        <w:t>he complainant’s representative</w:t>
      </w:r>
      <w:bookmarkEnd w:id="4"/>
    </w:p>
    <w:p w14:paraId="310A201C" w14:textId="77777777" w:rsidR="00514666" w:rsidRDefault="00514666" w:rsidP="00C078F3">
      <w:pPr>
        <w:spacing w:after="0" w:line="240" w:lineRule="auto"/>
        <w:ind w:left="567" w:hanging="567"/>
        <w:jc w:val="both"/>
        <w:rPr>
          <w:rFonts w:ascii="Franklin Gothic Book" w:hAnsi="Franklin Gothic Book" w:cs="Times New Roman"/>
        </w:rPr>
      </w:pPr>
    </w:p>
    <w:p w14:paraId="6C7E918F" w14:textId="77777777" w:rsidR="00777F44" w:rsidRPr="00FC077F" w:rsidRDefault="00777F44" w:rsidP="00C078F3">
      <w:pPr>
        <w:spacing w:after="0" w:line="240" w:lineRule="auto"/>
        <w:ind w:left="567" w:hanging="567"/>
        <w:jc w:val="both"/>
        <w:rPr>
          <w:rFonts w:ascii="Franklin Gothic Book" w:hAnsi="Franklin Gothic Book" w:cs="Times New Roman"/>
        </w:rPr>
      </w:pPr>
      <w:r w:rsidRPr="00FC077F">
        <w:rPr>
          <w:rFonts w:ascii="Franklin Gothic Book" w:hAnsi="Franklin Gothic Book" w:cs="Times New Roman"/>
        </w:rPr>
        <w:t xml:space="preserve">Complainant </w:t>
      </w: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 xml:space="preserve">  Representative ( </w:t>
      </w:r>
      <w:r w:rsidR="00A31619" w:rsidRPr="00FC077F">
        <w:rPr>
          <w:rFonts w:ascii="Franklin Gothic Book" w:hAnsi="Franklin Gothic Book" w:cs="Times New Roman"/>
        </w:rPr>
        <w:t>X</w:t>
      </w:r>
      <w:r w:rsidRPr="00FC077F">
        <w:rPr>
          <w:rFonts w:ascii="Franklin Gothic Book" w:hAnsi="Franklin Gothic Book" w:cs="Times New Roman"/>
        </w:rPr>
        <w:t xml:space="preserve"> )</w:t>
      </w:r>
    </w:p>
    <w:p w14:paraId="4EA30E6A" w14:textId="77777777" w:rsidR="00777F44" w:rsidRPr="00FC077F" w:rsidRDefault="00777F44" w:rsidP="00777F44">
      <w:pPr>
        <w:spacing w:line="360" w:lineRule="auto"/>
        <w:ind w:left="567" w:hanging="567"/>
        <w:jc w:val="both"/>
        <w:rPr>
          <w:rFonts w:ascii="Franklin Gothic Book" w:hAnsi="Franklin Gothic Book" w:cs="Times New Roman"/>
        </w:rPr>
      </w:pPr>
    </w:p>
    <w:p w14:paraId="606CCEE6" w14:textId="77777777" w:rsidR="00777F44" w:rsidRPr="00FC077F" w:rsidRDefault="00777F44" w:rsidP="0085603C">
      <w:pPr>
        <w:jc w:val="both"/>
        <w:rPr>
          <w:rFonts w:ascii="Franklin Gothic Book" w:hAnsi="Franklin Gothic Book" w:cs="Times New Roman"/>
          <w:b/>
          <w:u w:val="single"/>
        </w:rPr>
      </w:pPr>
    </w:p>
    <w:p w14:paraId="494A37F4" w14:textId="77777777" w:rsidR="00777F44" w:rsidRPr="00FC077F" w:rsidRDefault="00777F44" w:rsidP="00B424BE">
      <w:pPr>
        <w:pStyle w:val="Heading1"/>
        <w:rPr>
          <w:szCs w:val="22"/>
        </w:rPr>
      </w:pPr>
      <w:r w:rsidRPr="00FC077F">
        <w:rPr>
          <w:szCs w:val="22"/>
        </w:rPr>
        <w:br w:type="page"/>
      </w:r>
      <w:bookmarkStart w:id="5" w:name="_Toc10494464"/>
      <w:r w:rsidRPr="00FC077F">
        <w:rPr>
          <w:szCs w:val="22"/>
        </w:rPr>
        <w:lastRenderedPageBreak/>
        <w:t>DESCRIPTION OF THE SUSPECTED INFRINGEMENT OF UNION LAW</w:t>
      </w:r>
      <w:bookmarkEnd w:id="5"/>
    </w:p>
    <w:p w14:paraId="3F5162C8" w14:textId="77777777" w:rsidR="00777F44" w:rsidRPr="00FC077F" w:rsidRDefault="00777F44" w:rsidP="00777F44">
      <w:pPr>
        <w:spacing w:line="360" w:lineRule="auto"/>
        <w:ind w:left="567" w:hanging="567"/>
        <w:jc w:val="both"/>
        <w:rPr>
          <w:rFonts w:ascii="Franklin Gothic Book" w:hAnsi="Franklin Gothic Book" w:cs="Times New Roman"/>
          <w:b/>
          <w:bCs/>
        </w:rPr>
      </w:pPr>
    </w:p>
    <w:p w14:paraId="30477603" w14:textId="77777777" w:rsidR="00777F44" w:rsidRPr="00FC077F" w:rsidRDefault="00777F44" w:rsidP="0085603C">
      <w:pPr>
        <w:pStyle w:val="Heading2"/>
      </w:pPr>
      <w:bookmarkStart w:id="6" w:name="_Toc10494465"/>
      <w:r w:rsidRPr="00FC077F">
        <w:t>Description of the facts and the reasons for your complaint and remedial action sought</w:t>
      </w:r>
      <w:bookmarkEnd w:id="6"/>
    </w:p>
    <w:p w14:paraId="40872562" w14:textId="77777777" w:rsidR="00C71C3C" w:rsidRPr="00FC077F" w:rsidRDefault="00C71C3C" w:rsidP="00C71C3C">
      <w:pPr>
        <w:rPr>
          <w:rFonts w:ascii="Franklin Gothic Book" w:hAnsi="Franklin Gothic Book" w:cs="Times New Roman"/>
        </w:rPr>
      </w:pPr>
    </w:p>
    <w:p w14:paraId="1BB207B5" w14:textId="77777777" w:rsidR="00777F44" w:rsidRPr="00FC077F" w:rsidRDefault="00777F44" w:rsidP="006B42F7">
      <w:pPr>
        <w:pStyle w:val="ListParagraph"/>
        <w:numPr>
          <w:ilvl w:val="0"/>
          <w:numId w:val="30"/>
        </w:numPr>
        <w:spacing w:after="0"/>
        <w:rPr>
          <w:rFonts w:ascii="Franklin Gothic Book" w:hAnsi="Franklin Gothic Book"/>
        </w:rPr>
      </w:pPr>
      <w:r w:rsidRPr="00FC077F">
        <w:rPr>
          <w:rFonts w:ascii="Franklin Gothic Book" w:hAnsi="Franklin Gothic Book"/>
        </w:rPr>
        <w:t>Description of the facts</w:t>
      </w:r>
      <w:r w:rsidR="00F671C6" w:rsidRPr="00FC077F">
        <w:rPr>
          <w:rFonts w:ascii="Franklin Gothic Book" w:hAnsi="Franklin Gothic Book"/>
        </w:rPr>
        <w:t>:</w:t>
      </w:r>
    </w:p>
    <w:p w14:paraId="17DE5BD6" w14:textId="77777777" w:rsidR="00C8217F" w:rsidRPr="00FC077F" w:rsidRDefault="00C8217F" w:rsidP="00C8217F">
      <w:pPr>
        <w:spacing w:after="0" w:line="360" w:lineRule="auto"/>
        <w:ind w:left="360"/>
        <w:jc w:val="both"/>
        <w:rPr>
          <w:rFonts w:ascii="Franklin Gothic Book" w:hAnsi="Franklin Gothic Book" w:cs="Times New Roman"/>
          <w:bCs/>
          <w:i/>
        </w:rPr>
      </w:pPr>
    </w:p>
    <w:p w14:paraId="4875D33E" w14:textId="77777777" w:rsidR="004F17FD" w:rsidRPr="00FC077F" w:rsidRDefault="004F17FD" w:rsidP="006B42F7">
      <w:pPr>
        <w:pStyle w:val="Heading4"/>
        <w:spacing w:before="0"/>
      </w:pPr>
      <w:bookmarkStart w:id="7" w:name="_Toc10494466"/>
      <w:r w:rsidRPr="00FC077F">
        <w:t>UK Data Protection Act 2018</w:t>
      </w:r>
      <w:bookmarkEnd w:id="7"/>
    </w:p>
    <w:p w14:paraId="6B35DBB2" w14:textId="77777777" w:rsidR="00C2626B" w:rsidRPr="00FC077F" w:rsidRDefault="001D6CDE" w:rsidP="00C2626B">
      <w:pPr>
        <w:spacing w:after="0" w:line="240" w:lineRule="auto"/>
        <w:jc w:val="both"/>
        <w:rPr>
          <w:rFonts w:ascii="Franklin Gothic Book" w:hAnsi="Franklin Gothic Book" w:cs="Times New Roman"/>
          <w:bCs/>
        </w:rPr>
      </w:pPr>
      <w:r w:rsidRPr="00FC077F">
        <w:rPr>
          <w:rFonts w:ascii="Franklin Gothic Book" w:hAnsi="Franklin Gothic Book" w:cs="Times New Roman"/>
          <w:bCs/>
        </w:rPr>
        <w:t>The United Kingdom’s</w:t>
      </w:r>
      <w:r w:rsidR="0062316E" w:rsidRPr="00FC077F">
        <w:rPr>
          <w:rFonts w:ascii="Franklin Gothic Book" w:hAnsi="Franklin Gothic Book" w:cs="Times New Roman"/>
          <w:bCs/>
        </w:rPr>
        <w:t xml:space="preserve"> Data Protection Act 2018 </w:t>
      </w:r>
      <w:r w:rsidR="004E36E5" w:rsidRPr="00FC077F">
        <w:rPr>
          <w:rFonts w:ascii="Franklin Gothic Book" w:hAnsi="Franklin Gothic Book" w:cs="Times New Roman"/>
          <w:bCs/>
        </w:rPr>
        <w:t xml:space="preserve">(“DPA”) </w:t>
      </w:r>
      <w:r w:rsidRPr="00FC077F">
        <w:rPr>
          <w:rFonts w:ascii="Franklin Gothic Book" w:hAnsi="Franklin Gothic Book" w:cs="Times New Roman"/>
          <w:bCs/>
        </w:rPr>
        <w:t xml:space="preserve">updates the data protection laws in the </w:t>
      </w:r>
      <w:r w:rsidR="0060238E" w:rsidRPr="00FC077F">
        <w:rPr>
          <w:rFonts w:ascii="Franklin Gothic Book" w:hAnsi="Franklin Gothic Book" w:cs="Times New Roman"/>
          <w:bCs/>
        </w:rPr>
        <w:t>UK and</w:t>
      </w:r>
      <w:r w:rsidR="008709DA" w:rsidRPr="00FC077F">
        <w:rPr>
          <w:rFonts w:ascii="Franklin Gothic Book" w:hAnsi="Franklin Gothic Book" w:cs="Times New Roman"/>
          <w:bCs/>
        </w:rPr>
        <w:t xml:space="preserve"> </w:t>
      </w:r>
      <w:r w:rsidR="0092606F" w:rsidRPr="00FC077F">
        <w:rPr>
          <w:rFonts w:ascii="Franklin Gothic Book" w:hAnsi="Franklin Gothic Book" w:cs="Times New Roman"/>
          <w:bCs/>
        </w:rPr>
        <w:t xml:space="preserve">is intended to complement the </w:t>
      </w:r>
      <w:r w:rsidR="00695C49" w:rsidRPr="00FC077F">
        <w:rPr>
          <w:rFonts w:ascii="Franklin Gothic Book" w:hAnsi="Franklin Gothic Book" w:cs="Times New Roman"/>
          <w:bCs/>
        </w:rPr>
        <w:t>EU General Data Protection Regulation</w:t>
      </w:r>
      <w:r w:rsidR="0092606F" w:rsidRPr="00FC077F">
        <w:rPr>
          <w:rFonts w:ascii="Franklin Gothic Book" w:hAnsi="Franklin Gothic Book" w:cs="Times New Roman"/>
          <w:bCs/>
        </w:rPr>
        <w:t xml:space="preserve"> (EU) 2016/679 (“</w:t>
      </w:r>
      <w:r w:rsidR="008709DA" w:rsidRPr="00FC077F">
        <w:rPr>
          <w:rFonts w:ascii="Franklin Gothic Book" w:hAnsi="Franklin Gothic Book" w:cs="Times New Roman"/>
          <w:bCs/>
        </w:rPr>
        <w:t>GDPR</w:t>
      </w:r>
      <w:r w:rsidR="0092606F" w:rsidRPr="00FC077F">
        <w:rPr>
          <w:rFonts w:ascii="Franklin Gothic Book" w:hAnsi="Franklin Gothic Book" w:cs="Times New Roman"/>
          <w:bCs/>
        </w:rPr>
        <w:t>”)</w:t>
      </w:r>
      <w:r w:rsidR="008709DA" w:rsidRPr="00FC077F">
        <w:rPr>
          <w:rFonts w:ascii="Franklin Gothic Book" w:hAnsi="Franklin Gothic Book" w:cs="Times New Roman"/>
          <w:bCs/>
        </w:rPr>
        <w:t xml:space="preserve">, which has direct effect in all EU member states. The DPA received Royal Assent on 23 May 2018 and went into effect on 25 May 2018. </w:t>
      </w:r>
    </w:p>
    <w:p w14:paraId="0C3A2444" w14:textId="77777777" w:rsidR="0092606F" w:rsidRPr="00FC077F" w:rsidRDefault="0092606F" w:rsidP="00C2626B">
      <w:pPr>
        <w:spacing w:after="0" w:line="240" w:lineRule="auto"/>
        <w:jc w:val="both"/>
        <w:rPr>
          <w:rFonts w:ascii="Franklin Gothic Book" w:hAnsi="Franklin Gothic Book" w:cs="Times New Roman"/>
          <w:bCs/>
        </w:rPr>
      </w:pPr>
    </w:p>
    <w:p w14:paraId="2D8E0E0F" w14:textId="34746543" w:rsidR="00772AA3" w:rsidRPr="00FC077F" w:rsidRDefault="00C565DD" w:rsidP="00013F86">
      <w:pPr>
        <w:spacing w:after="0" w:line="240" w:lineRule="auto"/>
        <w:jc w:val="both"/>
        <w:rPr>
          <w:rFonts w:ascii="Franklin Gothic Book" w:hAnsi="Franklin Gothic Book" w:cs="Times New Roman"/>
          <w:bCs/>
        </w:rPr>
      </w:pPr>
      <w:r w:rsidRPr="00FC077F">
        <w:rPr>
          <w:rFonts w:ascii="Franklin Gothic Book" w:hAnsi="Franklin Gothic Book" w:cs="Times New Roman"/>
          <w:bCs/>
        </w:rPr>
        <w:t>This complaint address</w:t>
      </w:r>
      <w:r w:rsidR="00727521" w:rsidRPr="00FC077F">
        <w:rPr>
          <w:rFonts w:ascii="Franklin Gothic Book" w:hAnsi="Franklin Gothic Book" w:cs="Times New Roman"/>
          <w:bCs/>
        </w:rPr>
        <w:t>es</w:t>
      </w:r>
      <w:r w:rsidRPr="00FC077F">
        <w:rPr>
          <w:rFonts w:ascii="Franklin Gothic Book" w:hAnsi="Franklin Gothic Book" w:cs="Times New Roman"/>
          <w:bCs/>
        </w:rPr>
        <w:t xml:space="preserve"> </w:t>
      </w:r>
      <w:r w:rsidR="00772AA3" w:rsidRPr="00FC077F">
        <w:rPr>
          <w:rFonts w:ascii="Franklin Gothic Book" w:hAnsi="Franklin Gothic Book" w:cs="Times New Roman"/>
          <w:bCs/>
        </w:rPr>
        <w:t>Schedule 2, Part 1, paragraph 4 of the DPA</w:t>
      </w:r>
      <w:r w:rsidR="00013F86" w:rsidRPr="00FC077F">
        <w:rPr>
          <w:rFonts w:ascii="Franklin Gothic Book" w:hAnsi="Franklin Gothic Book" w:cs="Times New Roman"/>
          <w:bCs/>
        </w:rPr>
        <w:t>, which</w:t>
      </w:r>
      <w:r w:rsidR="00772AA3" w:rsidRPr="00FC077F">
        <w:rPr>
          <w:rFonts w:ascii="Franklin Gothic Book" w:hAnsi="Franklin Gothic Book" w:cs="Times New Roman"/>
          <w:bCs/>
        </w:rPr>
        <w:t xml:space="preserve"> creates a broad exemption (hereinafter “immigration control exemption”</w:t>
      </w:r>
      <w:r w:rsidR="00EC3E9E" w:rsidRPr="00FC077F">
        <w:rPr>
          <w:rFonts w:ascii="Franklin Gothic Book" w:hAnsi="Franklin Gothic Book" w:cs="Times New Roman"/>
          <w:bCs/>
        </w:rPr>
        <w:t xml:space="preserve"> or “exemption”</w:t>
      </w:r>
      <w:r w:rsidR="00772AA3" w:rsidRPr="00FC077F">
        <w:rPr>
          <w:rFonts w:ascii="Franklin Gothic Book" w:hAnsi="Franklin Gothic Book" w:cs="Times New Roman"/>
          <w:bCs/>
        </w:rPr>
        <w:t>) to th</w:t>
      </w:r>
      <w:r w:rsidR="00013F86" w:rsidRPr="00FC077F">
        <w:rPr>
          <w:rFonts w:ascii="Franklin Gothic Book" w:hAnsi="Franklin Gothic Book" w:cs="Times New Roman"/>
          <w:bCs/>
        </w:rPr>
        <w:t xml:space="preserve">e application of GDPR protections, based on the limited basis provided for derogations under </w:t>
      </w:r>
      <w:r w:rsidR="00772AA3" w:rsidRPr="00FC077F">
        <w:rPr>
          <w:rFonts w:ascii="Franklin Gothic Book" w:hAnsi="Franklin Gothic Book" w:cs="Times New Roman"/>
          <w:bCs/>
        </w:rPr>
        <w:t>GDPR Article 23.</w:t>
      </w:r>
      <w:r w:rsidR="00013F86" w:rsidRPr="00FC077F">
        <w:rPr>
          <w:rFonts w:ascii="Franklin Gothic Book" w:hAnsi="Franklin Gothic Book" w:cs="Times New Roman"/>
          <w:bCs/>
        </w:rPr>
        <w:t xml:space="preserve"> It is our submission that the “immigration control exemption” does not comport with Article 23, and is therefore a violation of the GDPR, as well as rights guaranteed under the EU Charter of Fundamental Rights (“Charter</w:t>
      </w:r>
      <w:r w:rsidR="00BC39E1">
        <w:rPr>
          <w:rFonts w:ascii="Franklin Gothic Book" w:hAnsi="Franklin Gothic Book" w:cs="Times New Roman"/>
          <w:bCs/>
        </w:rPr>
        <w:t>” or “CFR”</w:t>
      </w:r>
      <w:r w:rsidR="00013F86" w:rsidRPr="00FC077F">
        <w:rPr>
          <w:rFonts w:ascii="Franklin Gothic Book" w:hAnsi="Franklin Gothic Book" w:cs="Times New Roman"/>
          <w:bCs/>
        </w:rPr>
        <w:t>) and European Convention on Human Rights (“ECHR”).</w:t>
      </w:r>
    </w:p>
    <w:p w14:paraId="3DBE289F" w14:textId="77777777" w:rsidR="00C2626B" w:rsidRPr="00FC077F" w:rsidRDefault="00C2626B" w:rsidP="00D836C9">
      <w:pPr>
        <w:spacing w:after="0" w:line="240" w:lineRule="auto"/>
        <w:jc w:val="both"/>
        <w:rPr>
          <w:rFonts w:ascii="Franklin Gothic Book" w:hAnsi="Franklin Gothic Book" w:cs="Times New Roman"/>
          <w:bCs/>
        </w:rPr>
      </w:pPr>
    </w:p>
    <w:p w14:paraId="43292711" w14:textId="77777777" w:rsidR="004F2155" w:rsidRPr="00FC077F" w:rsidRDefault="00477CE4" w:rsidP="00666277">
      <w:pPr>
        <w:pStyle w:val="Heading4"/>
        <w:rPr>
          <w:rStyle w:val="Emphasis"/>
          <w:i/>
          <w:iCs/>
        </w:rPr>
      </w:pPr>
      <w:bookmarkStart w:id="8" w:name="_Toc10494467"/>
      <w:r w:rsidRPr="00FC077F">
        <w:rPr>
          <w:rStyle w:val="Emphasis"/>
          <w:i/>
          <w:iCs/>
        </w:rPr>
        <w:t>The EU General Data Protection Regulation</w:t>
      </w:r>
      <w:bookmarkEnd w:id="8"/>
    </w:p>
    <w:p w14:paraId="1CCC7FB5" w14:textId="77777777" w:rsidR="00477CE4" w:rsidRPr="00FC077F" w:rsidRDefault="00477CE4" w:rsidP="00477CE4">
      <w:pPr>
        <w:pStyle w:val="NormalWeb"/>
        <w:spacing w:before="0" w:beforeAutospacing="0" w:after="240" w:afterAutospacing="0"/>
        <w:jc w:val="both"/>
        <w:rPr>
          <w:rFonts w:ascii="Franklin Gothic Book" w:hAnsi="Franklin Gothic Book"/>
          <w:iCs/>
          <w:color w:val="000000"/>
          <w:sz w:val="22"/>
          <w:szCs w:val="22"/>
        </w:rPr>
      </w:pPr>
      <w:r w:rsidRPr="00FC077F">
        <w:rPr>
          <w:rStyle w:val="Emphasis"/>
          <w:rFonts w:ascii="Franklin Gothic Book" w:hAnsi="Franklin Gothic Book"/>
          <w:i w:val="0"/>
          <w:color w:val="000000"/>
          <w:sz w:val="22"/>
          <w:szCs w:val="22"/>
        </w:rPr>
        <w:t xml:space="preserve">The GDPR strengthens and implements fundamental human rights to privacy and data protection. </w:t>
      </w:r>
      <w:r w:rsidRPr="00FC077F">
        <w:rPr>
          <w:rFonts w:ascii="Franklin Gothic Book" w:hAnsi="Franklin Gothic Book"/>
          <w:sz w:val="22"/>
          <w:szCs w:val="22"/>
          <w:lang w:val="en-US"/>
        </w:rPr>
        <w:t xml:space="preserve">Like the Data Protection Directive before it, GDPR is steeped in the traditions of the </w:t>
      </w:r>
      <w:r w:rsidR="00BD24A6" w:rsidRPr="00FC077F">
        <w:rPr>
          <w:rFonts w:ascii="Franklin Gothic Book" w:hAnsi="Franklin Gothic Book"/>
          <w:sz w:val="22"/>
          <w:szCs w:val="22"/>
          <w:lang w:val="en-US"/>
        </w:rPr>
        <w:t>ECHR</w:t>
      </w:r>
      <w:r w:rsidRPr="00FC077F">
        <w:rPr>
          <w:rFonts w:ascii="Franklin Gothic Book" w:hAnsi="Franklin Gothic Book"/>
          <w:sz w:val="22"/>
          <w:szCs w:val="22"/>
          <w:lang w:val="en-US"/>
        </w:rPr>
        <w:t>,</w:t>
      </w:r>
      <w:r w:rsidRPr="00FC077F">
        <w:rPr>
          <w:rFonts w:ascii="Franklin Gothic Book" w:hAnsi="Franklin Gothic Book"/>
          <w:sz w:val="22"/>
          <w:szCs w:val="22"/>
          <w:vertAlign w:val="superscript"/>
          <w:lang w:val="en-US"/>
        </w:rPr>
        <w:footnoteReference w:id="1"/>
      </w:r>
      <w:r w:rsidRPr="00FC077F">
        <w:rPr>
          <w:rFonts w:ascii="Franklin Gothic Book" w:hAnsi="Franklin Gothic Book"/>
          <w:sz w:val="22"/>
          <w:szCs w:val="22"/>
          <w:lang w:val="en-US"/>
        </w:rPr>
        <w:t xml:space="preserve"> the </w:t>
      </w:r>
      <w:bookmarkStart w:id="9" w:name="_9kR3WTr26645ERF44njt0vMWGBA15eVDLD6MIEK"/>
      <w:r w:rsidRPr="00FC077F">
        <w:rPr>
          <w:rFonts w:ascii="Franklin Gothic Book" w:hAnsi="Franklin Gothic Book"/>
          <w:sz w:val="22"/>
          <w:szCs w:val="22"/>
          <w:lang w:val="en-US"/>
        </w:rPr>
        <w:t>Council of Europe’s Convention</w:t>
      </w:r>
      <w:bookmarkEnd w:id="9"/>
      <w:r w:rsidRPr="00FC077F">
        <w:rPr>
          <w:rFonts w:ascii="Franklin Gothic Book" w:hAnsi="Franklin Gothic Book"/>
          <w:sz w:val="22"/>
          <w:szCs w:val="22"/>
          <w:lang w:val="en-US"/>
        </w:rPr>
        <w:t xml:space="preserve"> no. 108 (1981),</w:t>
      </w:r>
      <w:r w:rsidRPr="00FC077F">
        <w:rPr>
          <w:rFonts w:ascii="Franklin Gothic Book" w:hAnsi="Franklin Gothic Book"/>
          <w:sz w:val="22"/>
          <w:szCs w:val="22"/>
          <w:vertAlign w:val="superscript"/>
          <w:lang w:val="en-US"/>
        </w:rPr>
        <w:footnoteReference w:id="2"/>
      </w:r>
      <w:r w:rsidRPr="00FC077F">
        <w:rPr>
          <w:rFonts w:ascii="Franklin Gothic Book" w:hAnsi="Franklin Gothic Book"/>
          <w:sz w:val="22"/>
          <w:szCs w:val="22"/>
          <w:lang w:val="en-US"/>
        </w:rPr>
        <w:t xml:space="preserve"> and the OECD guidelines of 1980.</w:t>
      </w:r>
      <w:r w:rsidRPr="00FC077F">
        <w:rPr>
          <w:rFonts w:ascii="Franklin Gothic Book" w:hAnsi="Franklin Gothic Book"/>
          <w:sz w:val="22"/>
          <w:szCs w:val="22"/>
          <w:vertAlign w:val="superscript"/>
          <w:lang w:val="en-US"/>
        </w:rPr>
        <w:footnoteReference w:id="3"/>
      </w:r>
      <w:r w:rsidRPr="00FC077F">
        <w:rPr>
          <w:rFonts w:ascii="Franklin Gothic Book" w:hAnsi="Franklin Gothic Book"/>
          <w:sz w:val="22"/>
          <w:szCs w:val="22"/>
          <w:lang w:val="en-US"/>
        </w:rPr>
        <w:t xml:space="preserve">  These rights have their historical origins among others in the reaction to the atrocities of </w:t>
      </w:r>
      <w:bookmarkStart w:id="13" w:name="_9kR3WTr2664ABdZ1zmYQsbx"/>
      <w:r w:rsidRPr="00FC077F">
        <w:rPr>
          <w:rFonts w:ascii="Franklin Gothic Book" w:hAnsi="Franklin Gothic Book"/>
          <w:sz w:val="22"/>
          <w:szCs w:val="22"/>
          <w:lang w:val="en-US"/>
        </w:rPr>
        <w:t>World War II</w:t>
      </w:r>
      <w:bookmarkEnd w:id="13"/>
      <w:r w:rsidRPr="00FC077F">
        <w:rPr>
          <w:rFonts w:ascii="Franklin Gothic Book" w:hAnsi="Franklin Gothic Book"/>
          <w:sz w:val="22"/>
          <w:szCs w:val="22"/>
          <w:lang w:val="en-US"/>
        </w:rPr>
        <w:t xml:space="preserve"> and the privacy rights infringements prevalent in socialist regimes in Eastern Europe during the </w:t>
      </w:r>
      <w:bookmarkStart w:id="14" w:name="_9kR3WTr26646COFvlXPr"/>
      <w:r w:rsidRPr="00FC077F">
        <w:rPr>
          <w:rFonts w:ascii="Franklin Gothic Book" w:hAnsi="Franklin Gothic Book"/>
          <w:sz w:val="22"/>
          <w:szCs w:val="22"/>
          <w:lang w:val="en-US"/>
        </w:rPr>
        <w:t>Cold War</w:t>
      </w:r>
      <w:bookmarkEnd w:id="14"/>
      <w:r w:rsidRPr="00FC077F">
        <w:rPr>
          <w:rFonts w:ascii="Franklin Gothic Book" w:hAnsi="Franklin Gothic Book"/>
          <w:sz w:val="22"/>
          <w:szCs w:val="22"/>
          <w:lang w:val="en-US"/>
        </w:rPr>
        <w:t xml:space="preserve">.  </w:t>
      </w:r>
    </w:p>
    <w:p w14:paraId="6C4C15FF" w14:textId="77777777" w:rsidR="00477CE4" w:rsidRPr="00FC077F" w:rsidRDefault="00477CE4" w:rsidP="00DD417E">
      <w:pPr>
        <w:jc w:val="both"/>
        <w:rPr>
          <w:rFonts w:ascii="Franklin Gothic Book" w:hAnsi="Franklin Gothic Book"/>
          <w:lang w:val="en-US"/>
        </w:rPr>
      </w:pPr>
      <w:r w:rsidRPr="00FC077F">
        <w:rPr>
          <w:rFonts w:ascii="Franklin Gothic Book" w:hAnsi="Franklin Gothic Book"/>
          <w:lang w:val="en-US"/>
        </w:rPr>
        <w:t xml:space="preserve">More recently, the 2007 </w:t>
      </w:r>
      <w:bookmarkStart w:id="15" w:name="_9kR3WTr26647GaIwqn0gfxhxM"/>
      <w:r w:rsidRPr="00FC077F">
        <w:rPr>
          <w:rFonts w:ascii="Franklin Gothic Book" w:hAnsi="Franklin Gothic Book"/>
          <w:lang w:val="en-US"/>
        </w:rPr>
        <w:t>Lisbon Treaty</w:t>
      </w:r>
      <w:bookmarkEnd w:id="15"/>
      <w:r w:rsidRPr="00FC077F">
        <w:rPr>
          <w:rFonts w:ascii="Franklin Gothic Book" w:hAnsi="Franklin Gothic Book"/>
          <w:vertAlign w:val="superscript"/>
          <w:lang w:val="en-US"/>
        </w:rPr>
        <w:footnoteReference w:id="4"/>
      </w:r>
      <w:r w:rsidRPr="00FC077F">
        <w:rPr>
          <w:rFonts w:ascii="Franklin Gothic Book" w:hAnsi="Franklin Gothic Book"/>
          <w:lang w:val="en-US"/>
        </w:rPr>
        <w:t xml:space="preserve"> established in its Article 6(1) that the </w:t>
      </w:r>
      <w:r w:rsidR="00BD24A6" w:rsidRPr="00FC077F">
        <w:rPr>
          <w:rFonts w:ascii="Franklin Gothic Book" w:hAnsi="Franklin Gothic Book"/>
          <w:lang w:val="en-US"/>
        </w:rPr>
        <w:t>Charter</w:t>
      </w:r>
      <w:r w:rsidRPr="00FC077F">
        <w:rPr>
          <w:rFonts w:ascii="Franklin Gothic Book" w:hAnsi="Franklin Gothic Book"/>
          <w:lang w:val="en-US"/>
        </w:rPr>
        <w:t xml:space="preserve"> has the same legal value as the EU treaties and in its Article 6(3) that the fundamental rights enshrined in the ECHR constitute general principles of </w:t>
      </w:r>
      <w:bookmarkStart w:id="18" w:name="_9kR3WTr26649HiWrtz"/>
      <w:r w:rsidRPr="00FC077F">
        <w:rPr>
          <w:rFonts w:ascii="Franklin Gothic Book" w:hAnsi="Franklin Gothic Book"/>
          <w:lang w:val="en-US"/>
        </w:rPr>
        <w:t>European Union</w:t>
      </w:r>
      <w:bookmarkEnd w:id="18"/>
      <w:r w:rsidRPr="00FC077F">
        <w:rPr>
          <w:rFonts w:ascii="Franklin Gothic Book" w:hAnsi="Franklin Gothic Book"/>
          <w:lang w:val="en-US"/>
        </w:rPr>
        <w:t xml:space="preserve"> law.  Article 8(2) of the Charter elevates the protection of personal data to a specific and distinct fundamental right in the EU and provides that processing of personal data is in principle prohibited unless based on the consent of the data subject or a legitimate basis found in the law.  </w:t>
      </w:r>
    </w:p>
    <w:p w14:paraId="3DF4D046" w14:textId="77777777" w:rsidR="00477CE4" w:rsidRPr="00FC077F" w:rsidRDefault="00477CE4" w:rsidP="00DD417E">
      <w:pPr>
        <w:jc w:val="both"/>
        <w:rPr>
          <w:rFonts w:ascii="Franklin Gothic Book" w:hAnsi="Franklin Gothic Book"/>
          <w:lang w:val="en-US"/>
        </w:rPr>
      </w:pPr>
      <w:r w:rsidRPr="00FC077F">
        <w:rPr>
          <w:rFonts w:ascii="Franklin Gothic Book" w:hAnsi="Franklin Gothic Book"/>
          <w:lang w:val="en-US"/>
        </w:rPr>
        <w:t xml:space="preserve">The importance in the EU legal order of the fundamental right to privacy (Article 7 of the Charter) and the protection of personal data (Article 8 of the Charter) has been repeatedly emphasized by the </w:t>
      </w:r>
      <w:bookmarkStart w:id="19" w:name="_9kR3WTr26645FSF4886tPZFF6qn"/>
      <w:r w:rsidRPr="00FC077F">
        <w:rPr>
          <w:rFonts w:ascii="Franklin Gothic Book" w:hAnsi="Franklin Gothic Book"/>
          <w:lang w:val="en-US"/>
        </w:rPr>
        <w:t>Court of Justice</w:t>
      </w:r>
      <w:bookmarkEnd w:id="19"/>
      <w:r w:rsidRPr="00FC077F">
        <w:rPr>
          <w:rFonts w:ascii="Franklin Gothic Book" w:hAnsi="Franklin Gothic Book"/>
          <w:lang w:val="en-US"/>
        </w:rPr>
        <w:t xml:space="preserve"> of the European Union (CJEU).</w:t>
      </w:r>
      <w:r w:rsidRPr="00FC077F">
        <w:rPr>
          <w:rFonts w:ascii="Franklin Gothic Book" w:hAnsi="Franklin Gothic Book"/>
          <w:vertAlign w:val="superscript"/>
          <w:lang w:val="en-US"/>
        </w:rPr>
        <w:footnoteReference w:id="5"/>
      </w:r>
      <w:r w:rsidRPr="00FC077F">
        <w:rPr>
          <w:rFonts w:ascii="Franklin Gothic Book" w:hAnsi="Franklin Gothic Book"/>
          <w:lang w:val="en-US"/>
        </w:rPr>
        <w:t xml:space="preserve">  These principles are also deeply embedded in the constitutional legal orders of most (if not all) </w:t>
      </w:r>
      <w:bookmarkStart w:id="20" w:name="_9kR3WTr26646ESx6Homfwlixy33"/>
      <w:r w:rsidRPr="00FC077F">
        <w:rPr>
          <w:rFonts w:ascii="Franklin Gothic Book" w:hAnsi="Franklin Gothic Book"/>
          <w:lang w:val="en-US"/>
        </w:rPr>
        <w:t xml:space="preserve">EU </w:t>
      </w:r>
      <w:r w:rsidR="009C3722" w:rsidRPr="00FC077F">
        <w:rPr>
          <w:rFonts w:ascii="Franklin Gothic Book" w:hAnsi="Franklin Gothic Book"/>
          <w:lang w:val="en-US"/>
        </w:rPr>
        <w:t>m</w:t>
      </w:r>
      <w:r w:rsidRPr="00FC077F">
        <w:rPr>
          <w:rFonts w:ascii="Franklin Gothic Book" w:hAnsi="Franklin Gothic Book"/>
          <w:lang w:val="en-US"/>
        </w:rPr>
        <w:t xml:space="preserve">ember </w:t>
      </w:r>
      <w:r w:rsidR="009C3722" w:rsidRPr="00FC077F">
        <w:rPr>
          <w:rFonts w:ascii="Franklin Gothic Book" w:hAnsi="Franklin Gothic Book"/>
          <w:lang w:val="en-US"/>
        </w:rPr>
        <w:t>s</w:t>
      </w:r>
      <w:r w:rsidRPr="00FC077F">
        <w:rPr>
          <w:rFonts w:ascii="Franklin Gothic Book" w:hAnsi="Franklin Gothic Book"/>
          <w:lang w:val="en-US"/>
        </w:rPr>
        <w:t>tates</w:t>
      </w:r>
      <w:bookmarkEnd w:id="20"/>
      <w:r w:rsidRPr="00FC077F">
        <w:rPr>
          <w:rFonts w:ascii="Franklin Gothic Book" w:hAnsi="Franklin Gothic Book"/>
          <w:lang w:val="en-US"/>
        </w:rPr>
        <w:t>.</w:t>
      </w:r>
    </w:p>
    <w:p w14:paraId="73E6D1FC" w14:textId="77777777" w:rsidR="00477CE4" w:rsidRPr="00FC077F" w:rsidRDefault="00477CE4" w:rsidP="00477CE4">
      <w:pPr>
        <w:pStyle w:val="Legal5Cont2"/>
        <w:ind w:left="0"/>
        <w:rPr>
          <w:rStyle w:val="Emphasis"/>
          <w:rFonts w:ascii="Franklin Gothic Book" w:hAnsi="Franklin Gothic Book"/>
          <w:sz w:val="22"/>
          <w:szCs w:val="22"/>
        </w:rPr>
      </w:pPr>
      <w:r w:rsidRPr="00FC077F">
        <w:rPr>
          <w:rFonts w:ascii="Franklin Gothic Book" w:hAnsi="Franklin Gothic Book"/>
          <w:sz w:val="22"/>
          <w:szCs w:val="22"/>
          <w:lang w:val="en-US"/>
        </w:rPr>
        <w:t xml:space="preserve">In that context, GDPR must be understood as an effort to strengthen even further those fundamental rights, </w:t>
      </w:r>
      <w:proofErr w:type="gramStart"/>
      <w:r w:rsidRPr="00FC077F">
        <w:rPr>
          <w:rFonts w:ascii="Franklin Gothic Book" w:hAnsi="Franklin Gothic Book"/>
          <w:sz w:val="22"/>
          <w:szCs w:val="22"/>
          <w:lang w:val="en-US"/>
        </w:rPr>
        <w:t>taking into account</w:t>
      </w:r>
      <w:proofErr w:type="gramEnd"/>
      <w:r w:rsidRPr="00FC077F">
        <w:rPr>
          <w:rFonts w:ascii="Franklin Gothic Book" w:hAnsi="Franklin Gothic Book"/>
          <w:sz w:val="22"/>
          <w:szCs w:val="22"/>
          <w:lang w:val="en-US"/>
        </w:rPr>
        <w:t xml:space="preserve"> the advancement of technology and the ease </w:t>
      </w:r>
      <w:r w:rsidR="00BD24A6" w:rsidRPr="00FC077F">
        <w:rPr>
          <w:rFonts w:ascii="Franklin Gothic Book" w:hAnsi="Franklin Gothic Book"/>
          <w:sz w:val="22"/>
          <w:szCs w:val="22"/>
          <w:lang w:val="en-US"/>
        </w:rPr>
        <w:t>with</w:t>
      </w:r>
      <w:r w:rsidRPr="00FC077F">
        <w:rPr>
          <w:rFonts w:ascii="Franklin Gothic Book" w:hAnsi="Franklin Gothic Book"/>
          <w:sz w:val="22"/>
          <w:szCs w:val="22"/>
          <w:lang w:val="en-US"/>
        </w:rPr>
        <w:t xml:space="preserve"> which </w:t>
      </w:r>
      <w:r w:rsidRPr="00FC077F">
        <w:rPr>
          <w:rFonts w:ascii="Franklin Gothic Book" w:hAnsi="Franklin Gothic Book"/>
          <w:sz w:val="22"/>
          <w:szCs w:val="22"/>
          <w:lang w:val="en-US"/>
        </w:rPr>
        <w:lastRenderedPageBreak/>
        <w:t xml:space="preserve">personal data can be collected and transmitted today.  The provisions of GDPR must therefore be read and interpreted </w:t>
      </w:r>
      <w:proofErr w:type="gramStart"/>
      <w:r w:rsidRPr="00FC077F">
        <w:rPr>
          <w:rFonts w:ascii="Franklin Gothic Book" w:hAnsi="Franklin Gothic Book"/>
          <w:sz w:val="22"/>
          <w:szCs w:val="22"/>
          <w:lang w:val="en-US"/>
        </w:rPr>
        <w:t>in light of</w:t>
      </w:r>
      <w:proofErr w:type="gramEnd"/>
      <w:r w:rsidRPr="00FC077F">
        <w:rPr>
          <w:rFonts w:ascii="Franklin Gothic Book" w:hAnsi="Franklin Gothic Book"/>
          <w:sz w:val="22"/>
          <w:szCs w:val="22"/>
          <w:lang w:val="en-US"/>
        </w:rPr>
        <w:t xml:space="preserve"> these other legal instruments protecting the same fundamental right to data protection and the jurisprudence developed by the CJEU and the European Court of Human Rights.</w:t>
      </w:r>
      <w:r w:rsidRPr="00FC077F">
        <w:rPr>
          <w:rStyle w:val="FootnoteReference"/>
          <w:rFonts w:ascii="Franklin Gothic Book" w:eastAsia="SimSun" w:hAnsi="Franklin Gothic Book"/>
          <w:sz w:val="22"/>
          <w:szCs w:val="22"/>
          <w:lang w:val="en-US" w:eastAsia="zh-CN"/>
        </w:rPr>
        <w:footnoteReference w:id="6"/>
      </w:r>
    </w:p>
    <w:p w14:paraId="7912B877" w14:textId="77777777" w:rsidR="00DD417E" w:rsidRPr="00FC077F" w:rsidRDefault="00FF26E4" w:rsidP="00666277">
      <w:pPr>
        <w:pStyle w:val="Heading4"/>
        <w:rPr>
          <w:rStyle w:val="Emphasis"/>
          <w:color w:val="1F3763" w:themeColor="accent1" w:themeShade="7F"/>
        </w:rPr>
      </w:pPr>
      <w:bookmarkStart w:id="22" w:name="_Toc10494468"/>
      <w:r w:rsidRPr="00FC077F">
        <w:rPr>
          <w:rStyle w:val="Emphasis"/>
        </w:rPr>
        <w:t>Article 23 provides a limited basis for limiting application of the GDPR</w:t>
      </w:r>
      <w:bookmarkEnd w:id="22"/>
    </w:p>
    <w:p w14:paraId="5E3B9A40" w14:textId="77777777" w:rsidR="00477CE4" w:rsidRPr="00FC077F" w:rsidRDefault="00477CE4" w:rsidP="00477CE4">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rPr>
        <w:t xml:space="preserve">Article 23 </w:t>
      </w:r>
      <w:r w:rsidR="00FF26E4" w:rsidRPr="00FC077F">
        <w:rPr>
          <w:rStyle w:val="Emphasis"/>
          <w:rFonts w:ascii="Franklin Gothic Book" w:hAnsi="Franklin Gothic Book"/>
          <w:i w:val="0"/>
          <w:color w:val="000000"/>
          <w:sz w:val="22"/>
          <w:szCs w:val="22"/>
        </w:rPr>
        <w:t xml:space="preserve">GDPR </w:t>
      </w:r>
      <w:r w:rsidRPr="00FC077F">
        <w:rPr>
          <w:rStyle w:val="Emphasis"/>
          <w:rFonts w:ascii="Franklin Gothic Book" w:hAnsi="Franklin Gothic Book"/>
          <w:i w:val="0"/>
          <w:color w:val="000000"/>
          <w:sz w:val="22"/>
          <w:szCs w:val="22"/>
        </w:rPr>
        <w:t xml:space="preserve">offers EU member states a legal basis to create limited exceptions to certain of the GDPR’s protections. </w:t>
      </w:r>
      <w:r w:rsidR="00BA329C" w:rsidRPr="00FC077F">
        <w:rPr>
          <w:rStyle w:val="Emphasis"/>
          <w:rFonts w:ascii="Franklin Gothic Book" w:hAnsi="Franklin Gothic Book"/>
          <w:i w:val="0"/>
          <w:color w:val="000000"/>
          <w:sz w:val="22"/>
          <w:szCs w:val="22"/>
        </w:rPr>
        <w:t>A</w:t>
      </w:r>
      <w:r w:rsidRPr="00FC077F">
        <w:rPr>
          <w:rStyle w:val="Emphasis"/>
          <w:rFonts w:ascii="Franklin Gothic Book" w:hAnsi="Franklin Gothic Book"/>
          <w:i w:val="0"/>
          <w:color w:val="000000"/>
          <w:sz w:val="22"/>
          <w:szCs w:val="22"/>
        </w:rPr>
        <w:t>ny measure taken under Article 23 must</w:t>
      </w:r>
      <w:r w:rsidR="00BA329C" w:rsidRPr="00FC077F">
        <w:rPr>
          <w:rStyle w:val="Emphasis"/>
          <w:rFonts w:ascii="Franklin Gothic Book" w:hAnsi="Franklin Gothic Book"/>
          <w:i w:val="0"/>
          <w:color w:val="000000"/>
          <w:sz w:val="22"/>
          <w:szCs w:val="22"/>
        </w:rPr>
        <w:t>, however,</w:t>
      </w:r>
      <w:r w:rsidRPr="00FC077F">
        <w:rPr>
          <w:rStyle w:val="Emphasis"/>
          <w:rFonts w:ascii="Franklin Gothic Book" w:hAnsi="Franklin Gothic Book"/>
          <w:i w:val="0"/>
          <w:color w:val="000000"/>
          <w:sz w:val="22"/>
          <w:szCs w:val="22"/>
        </w:rPr>
        <w:t xml:space="preserve"> meet </w:t>
      </w:r>
      <w:proofErr w:type="gramStart"/>
      <w:r w:rsidRPr="00FC077F">
        <w:rPr>
          <w:rStyle w:val="Emphasis"/>
          <w:rFonts w:ascii="Franklin Gothic Book" w:hAnsi="Franklin Gothic Book"/>
          <w:i w:val="0"/>
          <w:color w:val="000000"/>
          <w:sz w:val="22"/>
          <w:szCs w:val="22"/>
        </w:rPr>
        <w:t>a number of</w:t>
      </w:r>
      <w:proofErr w:type="gramEnd"/>
      <w:r w:rsidRPr="00FC077F">
        <w:rPr>
          <w:rStyle w:val="Emphasis"/>
          <w:rFonts w:ascii="Franklin Gothic Book" w:hAnsi="Franklin Gothic Book"/>
          <w:i w:val="0"/>
          <w:color w:val="000000"/>
          <w:sz w:val="22"/>
          <w:szCs w:val="22"/>
        </w:rPr>
        <w:t xml:space="preserve"> strict conditions and must be compatible with fundamental rights enshrined in the </w:t>
      </w:r>
      <w:r w:rsidR="00295AEB" w:rsidRPr="00FC077F">
        <w:rPr>
          <w:rStyle w:val="Emphasis"/>
          <w:rFonts w:ascii="Franklin Gothic Book" w:hAnsi="Franklin Gothic Book"/>
          <w:i w:val="0"/>
          <w:color w:val="000000"/>
          <w:sz w:val="22"/>
          <w:szCs w:val="22"/>
        </w:rPr>
        <w:t>ECHR</w:t>
      </w:r>
      <w:r w:rsidRPr="00FC077F">
        <w:rPr>
          <w:rStyle w:val="Emphasis"/>
          <w:rFonts w:ascii="Franklin Gothic Book" w:hAnsi="Franklin Gothic Book"/>
          <w:i w:val="0"/>
          <w:color w:val="000000"/>
          <w:sz w:val="22"/>
          <w:szCs w:val="22"/>
        </w:rPr>
        <w:t xml:space="preserve"> and the </w:t>
      </w:r>
      <w:r w:rsidR="00295AEB" w:rsidRPr="00FC077F">
        <w:rPr>
          <w:rStyle w:val="Emphasis"/>
          <w:rFonts w:ascii="Franklin Gothic Book" w:hAnsi="Franklin Gothic Book"/>
          <w:i w:val="0"/>
          <w:color w:val="000000"/>
          <w:sz w:val="22"/>
          <w:szCs w:val="22"/>
        </w:rPr>
        <w:t>Charter</w:t>
      </w:r>
      <w:r w:rsidRPr="00FC077F">
        <w:rPr>
          <w:rStyle w:val="Emphasis"/>
          <w:rFonts w:ascii="Franklin Gothic Book" w:hAnsi="Franklin Gothic Book"/>
          <w:i w:val="0"/>
          <w:color w:val="000000"/>
          <w:sz w:val="22"/>
          <w:szCs w:val="22"/>
        </w:rPr>
        <w:t>. Namely, Article 23(1) GDPR requires that any such measure:</w:t>
      </w:r>
    </w:p>
    <w:p w14:paraId="2F996E2E" w14:textId="77777777" w:rsidR="00477CE4" w:rsidRPr="00FC077F" w:rsidRDefault="00477CE4" w:rsidP="00477CE4">
      <w:pPr>
        <w:pStyle w:val="NormalWeb"/>
        <w:numPr>
          <w:ilvl w:val="0"/>
          <w:numId w:val="7"/>
        </w:numPr>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color w:val="000000"/>
          <w:sz w:val="22"/>
          <w:szCs w:val="22"/>
        </w:rPr>
        <w:t xml:space="preserve">is aimed at safeguarding </w:t>
      </w:r>
      <w:r w:rsidR="009C3722" w:rsidRPr="00FC077F">
        <w:rPr>
          <w:rStyle w:val="Emphasis"/>
          <w:rFonts w:ascii="Franklin Gothic Book" w:hAnsi="Franklin Gothic Book"/>
          <w:color w:val="000000"/>
          <w:sz w:val="22"/>
          <w:szCs w:val="22"/>
        </w:rPr>
        <w:t xml:space="preserve">a </w:t>
      </w:r>
      <w:r w:rsidRPr="00FC077F">
        <w:rPr>
          <w:rStyle w:val="Emphasis"/>
          <w:rFonts w:ascii="Franklin Gothic Book" w:hAnsi="Franklin Gothic Book"/>
          <w:color w:val="000000"/>
          <w:sz w:val="22"/>
          <w:szCs w:val="22"/>
        </w:rPr>
        <w:t>specifi</w:t>
      </w:r>
      <w:r w:rsidR="00850479" w:rsidRPr="00FC077F">
        <w:rPr>
          <w:rStyle w:val="Emphasis"/>
          <w:rFonts w:ascii="Franklin Gothic Book" w:hAnsi="Franklin Gothic Book"/>
          <w:color w:val="000000"/>
          <w:sz w:val="22"/>
          <w:szCs w:val="22"/>
        </w:rPr>
        <w:t>c and important public interest</w:t>
      </w:r>
      <w:r w:rsidR="0005791A" w:rsidRPr="00FC077F">
        <w:rPr>
          <w:rStyle w:val="Emphasis"/>
          <w:rFonts w:ascii="Franklin Gothic Book" w:hAnsi="Franklin Gothic Book"/>
          <w:color w:val="000000"/>
          <w:sz w:val="22"/>
          <w:szCs w:val="22"/>
        </w:rPr>
        <w:t>, such as national security or public security</w:t>
      </w:r>
      <w:r w:rsidRPr="00FC077F">
        <w:rPr>
          <w:rStyle w:val="Emphasis"/>
          <w:rFonts w:ascii="Franklin Gothic Book" w:hAnsi="Franklin Gothic Book"/>
          <w:color w:val="000000"/>
          <w:sz w:val="22"/>
          <w:szCs w:val="22"/>
        </w:rPr>
        <w:t>;</w:t>
      </w:r>
    </w:p>
    <w:p w14:paraId="2C24A7E3" w14:textId="77777777" w:rsidR="00477CE4" w:rsidRPr="00FC077F" w:rsidRDefault="00477CE4" w:rsidP="00477CE4">
      <w:pPr>
        <w:pStyle w:val="NormalWeb"/>
        <w:numPr>
          <w:ilvl w:val="0"/>
          <w:numId w:val="7"/>
        </w:numPr>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color w:val="000000"/>
          <w:sz w:val="22"/>
          <w:szCs w:val="22"/>
        </w:rPr>
        <w:t>is sufficiently clear and precise to be foreseeable for affected individuals;</w:t>
      </w:r>
    </w:p>
    <w:p w14:paraId="15498CC1" w14:textId="77777777" w:rsidR="00477CE4" w:rsidRPr="00FC077F" w:rsidRDefault="00477CE4" w:rsidP="00477CE4">
      <w:pPr>
        <w:pStyle w:val="NormalWeb"/>
        <w:numPr>
          <w:ilvl w:val="0"/>
          <w:numId w:val="7"/>
        </w:numPr>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color w:val="000000"/>
          <w:sz w:val="22"/>
          <w:szCs w:val="22"/>
        </w:rPr>
        <w:t>is necessary and proportionate in a democratic society; and</w:t>
      </w:r>
    </w:p>
    <w:p w14:paraId="41A9810F" w14:textId="77777777" w:rsidR="00477CE4" w:rsidRPr="00FC077F" w:rsidRDefault="00477CE4" w:rsidP="00477CE4">
      <w:pPr>
        <w:pStyle w:val="NormalWeb"/>
        <w:numPr>
          <w:ilvl w:val="0"/>
          <w:numId w:val="7"/>
        </w:numPr>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color w:val="000000"/>
          <w:sz w:val="22"/>
          <w:szCs w:val="22"/>
        </w:rPr>
        <w:t>respects the essence of the fundamental rights and freedoms of affected individuals, including their right to data protection.</w:t>
      </w:r>
    </w:p>
    <w:p w14:paraId="1EC8F817" w14:textId="77777777" w:rsidR="00F1142D" w:rsidRPr="00FC077F" w:rsidRDefault="00477CE4" w:rsidP="00DD417E">
      <w:pPr>
        <w:jc w:val="both"/>
        <w:rPr>
          <w:rFonts w:ascii="Franklin Gothic Book" w:hAnsi="Franklin Gothic Book"/>
          <w:lang w:val="en-US"/>
        </w:rPr>
      </w:pPr>
      <w:r w:rsidRPr="00FC077F">
        <w:rPr>
          <w:rFonts w:ascii="Franklin Gothic Book" w:hAnsi="Franklin Gothic Book"/>
          <w:lang w:val="en-US"/>
        </w:rPr>
        <w:t>These requirements are consistent with the jurisprudence of the European Court of Human Rights.</w:t>
      </w:r>
      <w:r w:rsidRPr="00FC077F">
        <w:rPr>
          <w:rStyle w:val="FootnoteReference"/>
          <w:rFonts w:ascii="Franklin Gothic Book" w:hAnsi="Franklin Gothic Book"/>
          <w:lang w:val="en-US"/>
        </w:rPr>
        <w:footnoteReference w:id="7"/>
      </w:r>
      <w:r w:rsidRPr="00FC077F">
        <w:rPr>
          <w:rFonts w:ascii="Franklin Gothic Book" w:hAnsi="Franklin Gothic Book"/>
          <w:lang w:val="en-US"/>
        </w:rPr>
        <w:t xml:space="preserve">  Although governments enjoy a margin of discretion to restrict privacy rights, this margin is more limited when information of a very private nature or fundamental rights of data subjects are at stake.</w:t>
      </w:r>
      <w:r w:rsidRPr="00FC077F">
        <w:rPr>
          <w:rStyle w:val="FootnoteReference"/>
          <w:rFonts w:ascii="Franklin Gothic Book" w:hAnsi="Franklin Gothic Book"/>
          <w:lang w:val="en-US"/>
        </w:rPr>
        <w:footnoteReference w:id="8"/>
      </w:r>
      <w:r w:rsidRPr="00FC077F">
        <w:rPr>
          <w:rFonts w:ascii="Franklin Gothic Book" w:hAnsi="Franklin Gothic Book"/>
          <w:lang w:val="en-US"/>
        </w:rPr>
        <w:t xml:space="preserve">  In addition, measures adopted under Article 23 GDPR must be interpreted restrictively and narrowly to the extent they constitute deviations from fundamental data protection principles enshrined in GDPR.</w:t>
      </w:r>
      <w:r w:rsidRPr="00FC077F">
        <w:rPr>
          <w:rStyle w:val="FootnoteReference"/>
          <w:rFonts w:ascii="Franklin Gothic Book" w:hAnsi="Franklin Gothic Book"/>
          <w:lang w:val="en-US"/>
        </w:rPr>
        <w:footnoteReference w:id="9"/>
      </w:r>
    </w:p>
    <w:p w14:paraId="1EE24374" w14:textId="77777777" w:rsidR="00FF26E4" w:rsidRPr="00FC077F" w:rsidRDefault="00FF26E4" w:rsidP="00666277">
      <w:pPr>
        <w:pStyle w:val="Heading4"/>
      </w:pPr>
      <w:bookmarkStart w:id="25" w:name="_Toc10494469"/>
      <w:r w:rsidRPr="00FC077F">
        <w:t>The “immigration control exemption” is incompatible with the GDPR</w:t>
      </w:r>
      <w:bookmarkEnd w:id="25"/>
    </w:p>
    <w:p w14:paraId="69427C59" w14:textId="77777777" w:rsidR="00FF26E4" w:rsidRPr="00FC077F" w:rsidRDefault="00FF26E4" w:rsidP="00FF26E4">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rPr>
        <w:t xml:space="preserve">The “immigration control exemption” created under </w:t>
      </w:r>
      <w:r w:rsidRPr="00FC077F">
        <w:rPr>
          <w:rStyle w:val="Emphasis"/>
          <w:rFonts w:ascii="Franklin Gothic Book" w:hAnsi="Franklin Gothic Book"/>
          <w:i w:val="0"/>
          <w:color w:val="000000"/>
          <w:sz w:val="22"/>
          <w:szCs w:val="22"/>
          <w:lang w:val="en-US"/>
        </w:rPr>
        <w:t>paragraph 4 of Schedule 2, Part 1</w:t>
      </w:r>
      <w:r w:rsidR="00D6082C">
        <w:rPr>
          <w:rStyle w:val="Emphasis"/>
          <w:rFonts w:ascii="Franklin Gothic Book" w:hAnsi="Franklin Gothic Book"/>
          <w:i w:val="0"/>
          <w:color w:val="000000"/>
          <w:sz w:val="22"/>
          <w:szCs w:val="22"/>
          <w:lang w:val="en-US"/>
        </w:rPr>
        <w:t xml:space="preserve"> of the DPA</w:t>
      </w:r>
      <w:r w:rsidRPr="00FC077F">
        <w:rPr>
          <w:rStyle w:val="Emphasis"/>
          <w:rFonts w:ascii="Franklin Gothic Book" w:hAnsi="Franklin Gothic Book"/>
          <w:i w:val="0"/>
          <w:color w:val="000000"/>
          <w:sz w:val="22"/>
          <w:szCs w:val="22"/>
          <w:lang w:val="en-US"/>
        </w:rPr>
        <w:t xml:space="preserve"> </w:t>
      </w:r>
      <w:r w:rsidR="00785E31" w:rsidRPr="00FC077F">
        <w:rPr>
          <w:rStyle w:val="Emphasis"/>
          <w:rFonts w:ascii="Franklin Gothic Book" w:hAnsi="Franklin Gothic Book"/>
          <w:i w:val="0"/>
          <w:color w:val="000000"/>
          <w:sz w:val="22"/>
          <w:szCs w:val="22"/>
          <w:lang w:val="en-US"/>
        </w:rPr>
        <w:t>is</w:t>
      </w:r>
      <w:r w:rsidRPr="00FC077F">
        <w:rPr>
          <w:rStyle w:val="Emphasis"/>
          <w:rFonts w:ascii="Franklin Gothic Book" w:hAnsi="Franklin Gothic Book"/>
          <w:i w:val="0"/>
          <w:color w:val="000000"/>
          <w:sz w:val="22"/>
          <w:szCs w:val="22"/>
        </w:rPr>
        <w:t xml:space="preserve"> justified </w:t>
      </w:r>
      <w:proofErr w:type="gramStart"/>
      <w:r w:rsidRPr="00FC077F">
        <w:rPr>
          <w:rStyle w:val="Emphasis"/>
          <w:rFonts w:ascii="Franklin Gothic Book" w:hAnsi="Franklin Gothic Book"/>
          <w:i w:val="0"/>
          <w:color w:val="000000"/>
          <w:sz w:val="22"/>
          <w:szCs w:val="22"/>
        </w:rPr>
        <w:t>on the basis of</w:t>
      </w:r>
      <w:proofErr w:type="gramEnd"/>
      <w:r w:rsidRPr="00FC077F">
        <w:rPr>
          <w:rStyle w:val="Emphasis"/>
          <w:rFonts w:ascii="Franklin Gothic Book" w:hAnsi="Franklin Gothic Book"/>
          <w:i w:val="0"/>
          <w:color w:val="000000"/>
          <w:sz w:val="22"/>
          <w:szCs w:val="22"/>
        </w:rPr>
        <w:t xml:space="preserve"> Articles 23(1) of the GDPR. </w:t>
      </w:r>
      <w:r w:rsidR="00785E31" w:rsidRPr="00FC077F">
        <w:rPr>
          <w:rStyle w:val="Emphasis"/>
          <w:rFonts w:ascii="Franklin Gothic Book" w:hAnsi="Franklin Gothic Book"/>
          <w:i w:val="0"/>
          <w:color w:val="000000"/>
          <w:sz w:val="22"/>
          <w:szCs w:val="22"/>
          <w:lang w:val="en-US"/>
        </w:rPr>
        <w:t>It sets out that:</w:t>
      </w:r>
    </w:p>
    <w:p w14:paraId="36A95FEA" w14:textId="77777777" w:rsidR="00FF26E4" w:rsidRPr="00FC077F" w:rsidRDefault="00FF26E4" w:rsidP="00FF26E4">
      <w:pPr>
        <w:pStyle w:val="NormalWeb"/>
        <w:spacing w:before="0" w:beforeAutospacing="0" w:after="240" w:afterAutospacing="0"/>
        <w:ind w:left="708"/>
        <w:jc w:val="both"/>
        <w:rPr>
          <w:rStyle w:val="Emphasis"/>
          <w:rFonts w:ascii="Franklin Gothic Book" w:hAnsi="Franklin Gothic Book"/>
          <w:sz w:val="22"/>
          <w:szCs w:val="22"/>
        </w:rPr>
      </w:pPr>
      <w:r w:rsidRPr="00FC077F">
        <w:rPr>
          <w:rStyle w:val="Emphasis"/>
          <w:rFonts w:ascii="Franklin Gothic Book" w:hAnsi="Franklin Gothic Book"/>
          <w:color w:val="000000"/>
          <w:sz w:val="22"/>
          <w:szCs w:val="22"/>
          <w:lang w:val="en-US"/>
        </w:rPr>
        <w:t xml:space="preserve">4 (1) The GDPR provisions listed in sub-paragraph (2) do not apply to personal data for any of the following purposes – </w:t>
      </w:r>
    </w:p>
    <w:p w14:paraId="1AD157F8" w14:textId="77777777" w:rsidR="00FF26E4" w:rsidRPr="00FC077F" w:rsidRDefault="00FF26E4" w:rsidP="00FF26E4">
      <w:pPr>
        <w:pStyle w:val="NormalWeb"/>
        <w:numPr>
          <w:ilvl w:val="0"/>
          <w:numId w:val="5"/>
        </w:numPr>
        <w:spacing w:before="0" w:beforeAutospacing="0" w:after="240" w:afterAutospacing="0"/>
        <w:jc w:val="both"/>
        <w:rPr>
          <w:rStyle w:val="Emphasis"/>
          <w:rFonts w:ascii="Franklin Gothic Book" w:hAnsi="Franklin Gothic Book"/>
          <w:sz w:val="22"/>
          <w:szCs w:val="22"/>
        </w:rPr>
      </w:pPr>
      <w:bookmarkStart w:id="26" w:name="_Hlk9586708"/>
      <w:r w:rsidRPr="00FC077F">
        <w:rPr>
          <w:rStyle w:val="Emphasis"/>
          <w:rFonts w:ascii="Franklin Gothic Book" w:hAnsi="Franklin Gothic Book"/>
          <w:color w:val="000000"/>
          <w:sz w:val="22"/>
          <w:szCs w:val="22"/>
          <w:lang w:val="en-US"/>
        </w:rPr>
        <w:t>the maintenance of effective immigration control, or</w:t>
      </w:r>
    </w:p>
    <w:p w14:paraId="6C289544" w14:textId="77777777" w:rsidR="00FF26E4" w:rsidRPr="00FC077F" w:rsidRDefault="00FF26E4" w:rsidP="00FF26E4">
      <w:pPr>
        <w:pStyle w:val="NormalWeb"/>
        <w:numPr>
          <w:ilvl w:val="0"/>
          <w:numId w:val="5"/>
        </w:numPr>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color w:val="000000"/>
          <w:sz w:val="22"/>
          <w:szCs w:val="22"/>
          <w:lang w:val="en-US"/>
        </w:rPr>
        <w:t>the investigation or detection of activities that would undermine the maintenance of effective immigration control</w:t>
      </w:r>
    </w:p>
    <w:bookmarkEnd w:id="26"/>
    <w:p w14:paraId="6BF3392D" w14:textId="77777777" w:rsidR="00FF26E4" w:rsidRPr="00FC077F" w:rsidRDefault="00FF26E4" w:rsidP="00FF26E4">
      <w:pPr>
        <w:pStyle w:val="NormalWeb"/>
        <w:spacing w:before="0" w:beforeAutospacing="0" w:after="240" w:afterAutospacing="0"/>
        <w:ind w:left="708"/>
        <w:jc w:val="both"/>
        <w:rPr>
          <w:rStyle w:val="Emphasis"/>
          <w:rFonts w:ascii="Franklin Gothic Book" w:hAnsi="Franklin Gothic Book"/>
          <w:color w:val="000000"/>
          <w:sz w:val="22"/>
          <w:szCs w:val="22"/>
          <w:lang w:val="en-US"/>
        </w:rPr>
      </w:pPr>
      <w:r w:rsidRPr="00FC077F">
        <w:rPr>
          <w:rStyle w:val="Emphasis"/>
          <w:rFonts w:ascii="Franklin Gothic Book" w:hAnsi="Franklin Gothic Book"/>
          <w:color w:val="000000"/>
          <w:sz w:val="22"/>
          <w:szCs w:val="22"/>
          <w:lang w:val="en-US"/>
        </w:rPr>
        <w:lastRenderedPageBreak/>
        <w:t>to the extent that the application of those provisions would be likely to prejudice any of the matters mentioned in paragraphs (a) and (b).</w:t>
      </w:r>
    </w:p>
    <w:p w14:paraId="6CE56DB4" w14:textId="77777777" w:rsidR="009C3722" w:rsidRPr="00FC077F" w:rsidRDefault="00727521" w:rsidP="009C3722">
      <w:pPr>
        <w:pStyle w:val="NormalWeb"/>
        <w:spacing w:before="0" w:beforeAutospacing="0" w:after="240" w:afterAutospacing="0"/>
        <w:jc w:val="both"/>
        <w:rPr>
          <w:rFonts w:ascii="Franklin Gothic Book" w:hAnsi="Franklin Gothic Book"/>
          <w:sz w:val="22"/>
          <w:szCs w:val="22"/>
        </w:rPr>
      </w:pPr>
      <w:r w:rsidRPr="00FC077F">
        <w:rPr>
          <w:rStyle w:val="Emphasis"/>
          <w:rFonts w:ascii="Franklin Gothic Book" w:hAnsi="Franklin Gothic Book"/>
          <w:i w:val="0"/>
          <w:color w:val="000000"/>
          <w:sz w:val="22"/>
          <w:szCs w:val="22"/>
          <w:lang w:val="en-US"/>
        </w:rPr>
        <w:t>Under sub-</w:t>
      </w:r>
      <w:r w:rsidRPr="00FC077F">
        <w:rPr>
          <w:rStyle w:val="Emphasis"/>
          <w:rFonts w:ascii="Franklin Gothic Book" w:hAnsi="Franklin Gothic Book"/>
          <w:i w:val="0"/>
          <w:sz w:val="22"/>
          <w:szCs w:val="22"/>
          <w:lang w:val="en-US"/>
        </w:rPr>
        <w:t>paragraph (2), t</w:t>
      </w:r>
      <w:r w:rsidR="00785E31" w:rsidRPr="00FC077F">
        <w:rPr>
          <w:rStyle w:val="Emphasis"/>
          <w:rFonts w:ascii="Franklin Gothic Book" w:hAnsi="Franklin Gothic Book"/>
          <w:i w:val="0"/>
          <w:sz w:val="22"/>
          <w:szCs w:val="22"/>
          <w:lang w:val="en-US"/>
        </w:rPr>
        <w:t>he</w:t>
      </w:r>
      <w:r w:rsidR="00FF26E4" w:rsidRPr="00FC077F">
        <w:rPr>
          <w:rStyle w:val="Emphasis"/>
          <w:rFonts w:ascii="Franklin Gothic Book" w:hAnsi="Franklin Gothic Book"/>
          <w:i w:val="0"/>
          <w:sz w:val="22"/>
          <w:szCs w:val="22"/>
          <w:lang w:val="en-US"/>
        </w:rPr>
        <w:t xml:space="preserve"> </w:t>
      </w:r>
      <w:r w:rsidR="00785E31" w:rsidRPr="00FC077F">
        <w:rPr>
          <w:rStyle w:val="Emphasis"/>
          <w:rFonts w:ascii="Franklin Gothic Book" w:hAnsi="Franklin Gothic Book"/>
          <w:i w:val="0"/>
          <w:sz w:val="22"/>
          <w:szCs w:val="22"/>
          <w:lang w:val="en-US"/>
        </w:rPr>
        <w:t>exemption</w:t>
      </w:r>
      <w:r w:rsidR="00FF26E4" w:rsidRPr="00FC077F">
        <w:rPr>
          <w:rStyle w:val="Emphasis"/>
          <w:rFonts w:ascii="Franklin Gothic Book" w:hAnsi="Franklin Gothic Book"/>
          <w:i w:val="0"/>
          <w:sz w:val="22"/>
          <w:szCs w:val="22"/>
          <w:lang w:val="en-US"/>
        </w:rPr>
        <w:t xml:space="preserve"> </w:t>
      </w:r>
      <w:r w:rsidR="009C3722" w:rsidRPr="00FC077F">
        <w:rPr>
          <w:rFonts w:ascii="Franklin Gothic Book" w:hAnsi="Franklin Gothic Book"/>
          <w:sz w:val="22"/>
          <w:szCs w:val="22"/>
        </w:rPr>
        <w:t xml:space="preserve">derogates from several data subject rights namely the right to information about the processing of one’s data (whether it was obtained from the data subject (Art. 13(1)-(3) GDPR) or from another source (Art. 14(1)-(4) GDPR)); the right to  access one’s data (including the right to get confirmation about whether one’s data is being processed and for what purpose) (Art. 15(1)-(3) GDPR); the right to erasure (Art. 17(1)-(2) GDPR); the right to restrict the processing of one’s data (Article 18(1) GDPR); and the right to object to the processing of one’s data, on any ground and at any time (Article 21(1) GDPR).  </w:t>
      </w:r>
    </w:p>
    <w:p w14:paraId="38AE840F" w14:textId="77777777" w:rsidR="00785E31" w:rsidRPr="00FC077F" w:rsidRDefault="004F2155" w:rsidP="004F2155">
      <w:pPr>
        <w:pStyle w:val="NormalWeb"/>
        <w:spacing w:before="0" w:beforeAutospacing="0" w:after="240" w:afterAutospacing="0"/>
        <w:jc w:val="both"/>
        <w:rPr>
          <w:rStyle w:val="Emphasis"/>
          <w:rFonts w:ascii="Franklin Gothic Book" w:hAnsi="Franklin Gothic Book"/>
          <w:i w:val="0"/>
          <w:iCs w:val="0"/>
          <w:sz w:val="22"/>
          <w:szCs w:val="22"/>
        </w:rPr>
      </w:pPr>
      <w:r w:rsidRPr="00FC077F">
        <w:rPr>
          <w:rFonts w:ascii="Franklin Gothic Book" w:hAnsi="Franklin Gothic Book"/>
          <w:sz w:val="22"/>
          <w:szCs w:val="22"/>
        </w:rPr>
        <w:t>In addition, the exemption restrict</w:t>
      </w:r>
      <w:r w:rsidR="00295AEB" w:rsidRPr="00FC077F">
        <w:rPr>
          <w:rFonts w:ascii="Franklin Gothic Book" w:hAnsi="Franklin Gothic Book"/>
          <w:sz w:val="22"/>
          <w:szCs w:val="22"/>
        </w:rPr>
        <w:t>s</w:t>
      </w:r>
      <w:r w:rsidRPr="00FC077F">
        <w:rPr>
          <w:rFonts w:ascii="Franklin Gothic Book" w:hAnsi="Franklin Gothic Book"/>
          <w:sz w:val="22"/>
          <w:szCs w:val="22"/>
        </w:rPr>
        <w:t xml:space="preserve"> application of </w:t>
      </w:r>
      <w:r w:rsidR="00785E31" w:rsidRPr="00FC077F">
        <w:rPr>
          <w:rFonts w:ascii="Franklin Gothic Book" w:hAnsi="Franklin Gothic Book"/>
          <w:sz w:val="22"/>
          <w:szCs w:val="22"/>
        </w:rPr>
        <w:t>the data protection principles</w:t>
      </w:r>
      <w:r w:rsidRPr="00FC077F">
        <w:rPr>
          <w:rFonts w:ascii="Franklin Gothic Book" w:hAnsi="Franklin Gothic Book"/>
          <w:sz w:val="22"/>
          <w:szCs w:val="22"/>
        </w:rPr>
        <w:t>,</w:t>
      </w:r>
      <w:r w:rsidR="00785E31" w:rsidRPr="00FC077F">
        <w:rPr>
          <w:rFonts w:ascii="Franklin Gothic Book" w:hAnsi="Franklin Gothic Book"/>
          <w:sz w:val="22"/>
          <w:szCs w:val="22"/>
        </w:rPr>
        <w:t xml:space="preserve"> </w:t>
      </w:r>
      <w:r w:rsidRPr="00FC077F">
        <w:rPr>
          <w:rFonts w:ascii="Franklin Gothic Book" w:hAnsi="Franklin Gothic Book"/>
          <w:sz w:val="22"/>
          <w:szCs w:val="22"/>
        </w:rPr>
        <w:t xml:space="preserve">set out under Article 5 of GDPR, </w:t>
      </w:r>
      <w:r w:rsidR="00785E31" w:rsidRPr="00FC077F">
        <w:rPr>
          <w:rFonts w:ascii="Franklin Gothic Book" w:hAnsi="Franklin Gothic Book"/>
          <w:sz w:val="22"/>
          <w:szCs w:val="22"/>
        </w:rPr>
        <w:t>of lawfulness, fairness, transparency, purpose limitation, data minimisation, accuracy, storage limitation, integrity, confidentiality and accountability, to the extent that they correspond to the rights mentioned above</w:t>
      </w:r>
      <w:r w:rsidRPr="00FC077F">
        <w:rPr>
          <w:rFonts w:ascii="Franklin Gothic Book" w:hAnsi="Franklin Gothic Book"/>
          <w:sz w:val="22"/>
          <w:szCs w:val="22"/>
        </w:rPr>
        <w:t>.</w:t>
      </w:r>
      <w:r w:rsidR="00785E31" w:rsidRPr="00FC077F">
        <w:rPr>
          <w:rFonts w:ascii="Franklin Gothic Book" w:hAnsi="Franklin Gothic Book"/>
          <w:sz w:val="22"/>
          <w:szCs w:val="22"/>
        </w:rPr>
        <w:t xml:space="preserve"> </w:t>
      </w:r>
    </w:p>
    <w:p w14:paraId="1A0CFC0F" w14:textId="77777777" w:rsidR="00FF26E4" w:rsidRPr="00FC077F" w:rsidRDefault="004F2155" w:rsidP="004F2155">
      <w:pPr>
        <w:pStyle w:val="NormalWeb"/>
        <w:spacing w:before="0" w:beforeAutospacing="0" w:after="240" w:afterAutospacing="0"/>
        <w:jc w:val="both"/>
        <w:rPr>
          <w:rFonts w:ascii="Franklin Gothic Book" w:hAnsi="Franklin Gothic Book"/>
          <w:iCs/>
          <w:sz w:val="22"/>
          <w:szCs w:val="22"/>
        </w:rPr>
      </w:pPr>
      <w:r w:rsidRPr="00FC077F">
        <w:rPr>
          <w:rStyle w:val="Emphasis"/>
          <w:rFonts w:ascii="Franklin Gothic Book" w:hAnsi="Franklin Gothic Book"/>
          <w:i w:val="0"/>
          <w:color w:val="000000"/>
          <w:sz w:val="22"/>
          <w:szCs w:val="22"/>
        </w:rPr>
        <w:t xml:space="preserve">Significantly, </w:t>
      </w:r>
      <w:r w:rsidRPr="00FC077F">
        <w:rPr>
          <w:rStyle w:val="Emphasis"/>
          <w:rFonts w:ascii="Franklin Gothic Book" w:hAnsi="Franklin Gothic Book"/>
          <w:i w:val="0"/>
          <w:color w:val="000000"/>
          <w:sz w:val="22"/>
          <w:szCs w:val="22"/>
          <w:lang w:val="en-US"/>
        </w:rPr>
        <w:t>u</w:t>
      </w:r>
      <w:r w:rsidR="00FF26E4" w:rsidRPr="00FC077F">
        <w:rPr>
          <w:rStyle w:val="Emphasis"/>
          <w:rFonts w:ascii="Franklin Gothic Book" w:hAnsi="Franklin Gothic Book"/>
          <w:i w:val="0"/>
          <w:color w:val="000000"/>
          <w:sz w:val="22"/>
          <w:szCs w:val="22"/>
          <w:lang w:val="en-US"/>
        </w:rPr>
        <w:t xml:space="preserve">nder Schedule 2, Part 1, sub.-para. 4(3), the “immigration control exemption” applies both when data is </w:t>
      </w:r>
      <w:r w:rsidR="00FF26E4" w:rsidRPr="00FC077F">
        <w:rPr>
          <w:rStyle w:val="Emphasis"/>
          <w:rFonts w:ascii="Franklin Gothic Book" w:hAnsi="Franklin Gothic Book"/>
          <w:color w:val="000000"/>
          <w:sz w:val="22"/>
          <w:szCs w:val="22"/>
          <w:lang w:val="en-US"/>
        </w:rPr>
        <w:t>initially</w:t>
      </w:r>
      <w:r w:rsidR="00FF26E4" w:rsidRPr="00FC077F">
        <w:rPr>
          <w:rStyle w:val="Emphasis"/>
          <w:rFonts w:ascii="Franklin Gothic Book" w:hAnsi="Franklin Gothic Book"/>
          <w:i w:val="0"/>
          <w:color w:val="000000"/>
          <w:sz w:val="22"/>
          <w:szCs w:val="22"/>
          <w:lang w:val="en-US"/>
        </w:rPr>
        <w:t xml:space="preserve"> processed</w:t>
      </w:r>
      <w:r w:rsidRPr="00FC077F">
        <w:rPr>
          <w:rStyle w:val="Emphasis"/>
          <w:rFonts w:ascii="Franklin Gothic Book" w:hAnsi="Franklin Gothic Book"/>
          <w:i w:val="0"/>
          <w:color w:val="000000"/>
          <w:sz w:val="22"/>
          <w:szCs w:val="22"/>
          <w:lang w:val="en-US"/>
        </w:rPr>
        <w:t xml:space="preserve"> (such as, by a service provider)</w:t>
      </w:r>
      <w:r w:rsidR="00FF26E4" w:rsidRPr="00FC077F">
        <w:rPr>
          <w:rStyle w:val="Emphasis"/>
          <w:rFonts w:ascii="Franklin Gothic Book" w:hAnsi="Franklin Gothic Book"/>
          <w:i w:val="0"/>
          <w:color w:val="000000"/>
          <w:sz w:val="22"/>
          <w:szCs w:val="22"/>
          <w:lang w:val="en-US"/>
        </w:rPr>
        <w:t xml:space="preserve">, and when it is </w:t>
      </w:r>
      <w:r w:rsidR="00FF26E4" w:rsidRPr="00FC077F">
        <w:rPr>
          <w:rStyle w:val="Emphasis"/>
          <w:rFonts w:ascii="Franklin Gothic Book" w:hAnsi="Franklin Gothic Book"/>
          <w:color w:val="000000"/>
          <w:sz w:val="22"/>
          <w:szCs w:val="22"/>
          <w:lang w:val="en-US"/>
        </w:rPr>
        <w:t>further</w:t>
      </w:r>
      <w:r w:rsidR="00FF26E4" w:rsidRPr="00FC077F">
        <w:rPr>
          <w:rStyle w:val="Emphasis"/>
          <w:rFonts w:ascii="Franklin Gothic Book" w:hAnsi="Franklin Gothic Book"/>
          <w:i w:val="0"/>
          <w:color w:val="000000"/>
          <w:sz w:val="22"/>
          <w:szCs w:val="22"/>
          <w:lang w:val="en-US"/>
        </w:rPr>
        <w:t xml:space="preserve"> processed by a separate person or entity</w:t>
      </w:r>
      <w:r w:rsidRPr="00FC077F">
        <w:rPr>
          <w:rStyle w:val="Emphasis"/>
          <w:rFonts w:ascii="Franklin Gothic Book" w:hAnsi="Franklin Gothic Book"/>
          <w:i w:val="0"/>
          <w:color w:val="000000"/>
          <w:sz w:val="22"/>
          <w:szCs w:val="22"/>
          <w:lang w:val="en-US"/>
        </w:rPr>
        <w:t xml:space="preserve"> (such as the Home Office)</w:t>
      </w:r>
      <w:r w:rsidR="00FF26E4" w:rsidRPr="00FC077F">
        <w:rPr>
          <w:rStyle w:val="Emphasis"/>
          <w:rFonts w:ascii="Franklin Gothic Book" w:hAnsi="Franklin Gothic Book"/>
          <w:i w:val="0"/>
          <w:color w:val="000000"/>
          <w:sz w:val="22"/>
          <w:szCs w:val="22"/>
          <w:lang w:val="en-US"/>
        </w:rPr>
        <w:t xml:space="preserve"> for maintaining effective immigration control or investi</w:t>
      </w:r>
      <w:r w:rsidR="00295AEB" w:rsidRPr="00FC077F">
        <w:rPr>
          <w:rStyle w:val="Emphasis"/>
          <w:rFonts w:ascii="Franklin Gothic Book" w:hAnsi="Franklin Gothic Book"/>
          <w:i w:val="0"/>
          <w:color w:val="000000"/>
          <w:sz w:val="22"/>
          <w:szCs w:val="22"/>
          <w:lang w:val="en-US"/>
        </w:rPr>
        <w:t>gati</w:t>
      </w:r>
      <w:r w:rsidR="00FF26E4" w:rsidRPr="00FC077F">
        <w:rPr>
          <w:rStyle w:val="Emphasis"/>
          <w:rFonts w:ascii="Franklin Gothic Book" w:hAnsi="Franklin Gothic Book"/>
          <w:i w:val="0"/>
          <w:color w:val="000000"/>
          <w:sz w:val="22"/>
          <w:szCs w:val="22"/>
          <w:lang w:val="en-US"/>
        </w:rPr>
        <w:t>ng or detecting activities that would undermine immigration control.</w:t>
      </w:r>
    </w:p>
    <w:p w14:paraId="7F2E7F4C" w14:textId="77777777" w:rsidR="00477CE4" w:rsidRPr="00FC077F" w:rsidRDefault="00477CE4" w:rsidP="00666277">
      <w:pPr>
        <w:pStyle w:val="Heading4"/>
      </w:pPr>
      <w:bookmarkStart w:id="27" w:name="_Toc10494470"/>
      <w:r w:rsidRPr="00FC077F">
        <w:t>The “</w:t>
      </w:r>
      <w:r w:rsidR="00E3079D" w:rsidRPr="00FC077F">
        <w:t>immigration control exemption</w:t>
      </w:r>
      <w:r w:rsidRPr="00FC077F">
        <w:t xml:space="preserve">” </w:t>
      </w:r>
      <w:r w:rsidR="005B5823" w:rsidRPr="00FC077F">
        <w:t xml:space="preserve">does not safeguard a specific and important public interest of the kind envisioned by Article 23, and </w:t>
      </w:r>
      <w:r w:rsidR="00AE409A" w:rsidRPr="00FC077F">
        <w:t>is not justified based on a “pressing social need”</w:t>
      </w:r>
      <w:bookmarkEnd w:id="27"/>
    </w:p>
    <w:p w14:paraId="35D67B20" w14:textId="77777777" w:rsidR="00AE409A" w:rsidRPr="00FC077F" w:rsidRDefault="00477CE4" w:rsidP="00AE409A">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lang w:val="en-US"/>
        </w:rPr>
        <w:t>Exemptions to the GDPR must aim</w:t>
      </w:r>
      <w:r w:rsidRPr="00FC077F">
        <w:rPr>
          <w:rStyle w:val="Emphasis"/>
          <w:rFonts w:ascii="Franklin Gothic Book" w:hAnsi="Franklin Gothic Book"/>
          <w:i w:val="0"/>
          <w:color w:val="000000"/>
          <w:sz w:val="22"/>
          <w:szCs w:val="22"/>
        </w:rPr>
        <w:t xml:space="preserve"> at “</w:t>
      </w:r>
      <w:r w:rsidRPr="00FC077F">
        <w:rPr>
          <w:rStyle w:val="Emphasis"/>
          <w:rFonts w:ascii="Franklin Gothic Book" w:hAnsi="Franklin Gothic Book"/>
          <w:color w:val="000000"/>
          <w:sz w:val="22"/>
          <w:szCs w:val="22"/>
        </w:rPr>
        <w:t xml:space="preserve">safeguarding </w:t>
      </w:r>
      <w:r w:rsidRPr="00FC077F">
        <w:rPr>
          <w:rStyle w:val="Emphasis"/>
          <w:rFonts w:ascii="Franklin Gothic Book" w:hAnsi="Franklin Gothic Book"/>
          <w:color w:val="000000"/>
          <w:sz w:val="22"/>
          <w:szCs w:val="22"/>
          <w:u w:val="single"/>
        </w:rPr>
        <w:t>specific</w:t>
      </w:r>
      <w:r w:rsidRPr="00FC077F">
        <w:rPr>
          <w:rStyle w:val="Emphasis"/>
          <w:rFonts w:ascii="Franklin Gothic Book" w:hAnsi="Franklin Gothic Book"/>
          <w:color w:val="000000"/>
          <w:sz w:val="22"/>
          <w:szCs w:val="22"/>
        </w:rPr>
        <w:t xml:space="preserve"> and </w:t>
      </w:r>
      <w:r w:rsidRPr="00FC077F">
        <w:rPr>
          <w:rStyle w:val="Emphasis"/>
          <w:rFonts w:ascii="Franklin Gothic Book" w:hAnsi="Franklin Gothic Book"/>
          <w:color w:val="000000"/>
          <w:sz w:val="22"/>
          <w:szCs w:val="22"/>
          <w:u w:val="single"/>
        </w:rPr>
        <w:t>important public interests</w:t>
      </w:r>
      <w:r w:rsidRPr="00FC077F">
        <w:rPr>
          <w:rStyle w:val="Emphasis"/>
          <w:rFonts w:ascii="Franklin Gothic Book" w:hAnsi="Franklin Gothic Book"/>
          <w:i w:val="0"/>
          <w:color w:val="000000"/>
          <w:sz w:val="22"/>
          <w:szCs w:val="22"/>
        </w:rPr>
        <w:t>” (emphasis added). The “</w:t>
      </w:r>
      <w:r w:rsidRPr="00FC077F">
        <w:rPr>
          <w:rStyle w:val="Emphasis"/>
          <w:rFonts w:ascii="Franklin Gothic Book" w:hAnsi="Franklin Gothic Book"/>
          <w:color w:val="000000"/>
          <w:sz w:val="22"/>
          <w:szCs w:val="22"/>
        </w:rPr>
        <w:t>maintenance of effective immigration control</w:t>
      </w:r>
      <w:r w:rsidRPr="00FC077F">
        <w:rPr>
          <w:rStyle w:val="Emphasis"/>
          <w:rFonts w:ascii="Franklin Gothic Book" w:hAnsi="Franklin Gothic Book"/>
          <w:i w:val="0"/>
          <w:color w:val="000000"/>
          <w:sz w:val="22"/>
          <w:szCs w:val="22"/>
        </w:rPr>
        <w:t>” and the “</w:t>
      </w:r>
      <w:r w:rsidRPr="00FC077F">
        <w:rPr>
          <w:rStyle w:val="Emphasis"/>
          <w:rFonts w:ascii="Franklin Gothic Book" w:hAnsi="Franklin Gothic Book"/>
          <w:color w:val="000000"/>
          <w:sz w:val="22"/>
          <w:szCs w:val="22"/>
        </w:rPr>
        <w:t>investigation or detection of activities that would undermine the maintenance of effective immigration control</w:t>
      </w:r>
      <w:r w:rsidR="005B5823" w:rsidRPr="00FC077F">
        <w:rPr>
          <w:rStyle w:val="Emphasis"/>
          <w:rFonts w:ascii="Franklin Gothic Book" w:hAnsi="Franklin Gothic Book"/>
          <w:i w:val="0"/>
          <w:color w:val="000000"/>
          <w:sz w:val="22"/>
          <w:szCs w:val="22"/>
        </w:rPr>
        <w:t xml:space="preserve">” – </w:t>
      </w:r>
      <w:r w:rsidRPr="00FC077F">
        <w:rPr>
          <w:rStyle w:val="Emphasis"/>
          <w:rFonts w:ascii="Franklin Gothic Book" w:hAnsi="Franklin Gothic Book"/>
          <w:i w:val="0"/>
          <w:color w:val="000000"/>
          <w:sz w:val="22"/>
          <w:szCs w:val="22"/>
        </w:rPr>
        <w:t>the purposes for the claimed exemption under S</w:t>
      </w:r>
      <w:r w:rsidR="005B5823" w:rsidRPr="00FC077F">
        <w:rPr>
          <w:rStyle w:val="Emphasis"/>
          <w:rFonts w:ascii="Franklin Gothic Book" w:hAnsi="Franklin Gothic Book"/>
          <w:i w:val="0"/>
          <w:color w:val="000000"/>
          <w:sz w:val="22"/>
          <w:szCs w:val="22"/>
        </w:rPr>
        <w:t xml:space="preserve">chedule 2, Part I, paragraph 4 – </w:t>
      </w:r>
      <w:r w:rsidRPr="00FC077F">
        <w:rPr>
          <w:rStyle w:val="Emphasis"/>
          <w:rFonts w:ascii="Franklin Gothic Book" w:hAnsi="Franklin Gothic Book"/>
          <w:i w:val="0"/>
          <w:color w:val="000000"/>
          <w:sz w:val="22"/>
          <w:szCs w:val="22"/>
        </w:rPr>
        <w:t xml:space="preserve">are neither specific nor do they constitute important public interests of the kind </w:t>
      </w:r>
      <w:r w:rsidR="005B5823" w:rsidRPr="00FC077F">
        <w:rPr>
          <w:rStyle w:val="Emphasis"/>
          <w:rFonts w:ascii="Franklin Gothic Book" w:hAnsi="Franklin Gothic Book"/>
          <w:i w:val="0"/>
          <w:color w:val="000000"/>
          <w:sz w:val="22"/>
          <w:szCs w:val="22"/>
        </w:rPr>
        <w:t>foreseen</w:t>
      </w:r>
      <w:r w:rsidRPr="00FC077F">
        <w:rPr>
          <w:rStyle w:val="Emphasis"/>
          <w:rFonts w:ascii="Franklin Gothic Book" w:hAnsi="Franklin Gothic Book"/>
          <w:i w:val="0"/>
          <w:color w:val="000000"/>
          <w:sz w:val="22"/>
          <w:szCs w:val="22"/>
        </w:rPr>
        <w:t xml:space="preserve"> by the GDPR.</w:t>
      </w:r>
    </w:p>
    <w:p w14:paraId="003E3F7D" w14:textId="77777777" w:rsidR="00A9169C" w:rsidRPr="00FC077F" w:rsidRDefault="00674564" w:rsidP="00674564">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rPr>
        <w:t>It is instructive to consider other exemptions under Schedule 2 of the DPA. Besides the “immigration control exemption”, Schedule 2, Part 1 of the DPA creates exemptions for crime and taxation (sub-paragraphs 2 and 3), and the disclosure of information in the context of legal proceedings (sub-paragraph 5). Schedule 2, Part 2 regulates exemptions related to a host</w:t>
      </w:r>
      <w:r w:rsidR="00A9169C" w:rsidRPr="00FC077F">
        <w:rPr>
          <w:rStyle w:val="Emphasis"/>
          <w:rFonts w:ascii="Franklin Gothic Book" w:hAnsi="Franklin Gothic Book"/>
          <w:i w:val="0"/>
          <w:color w:val="000000"/>
          <w:sz w:val="22"/>
          <w:szCs w:val="22"/>
        </w:rPr>
        <w:t xml:space="preserve"> of functions, many of which are concerned with oversight </w:t>
      </w:r>
      <w:r w:rsidR="004F2155" w:rsidRPr="00FC077F">
        <w:rPr>
          <w:rStyle w:val="Emphasis"/>
          <w:rFonts w:ascii="Franklin Gothic Book" w:hAnsi="Franklin Gothic Book"/>
          <w:i w:val="0"/>
          <w:color w:val="000000"/>
          <w:sz w:val="22"/>
          <w:szCs w:val="22"/>
        </w:rPr>
        <w:t xml:space="preserve">mechanism </w:t>
      </w:r>
      <w:r w:rsidR="00A9169C" w:rsidRPr="00FC077F">
        <w:rPr>
          <w:rStyle w:val="Emphasis"/>
          <w:rFonts w:ascii="Franklin Gothic Book" w:hAnsi="Franklin Gothic Book"/>
          <w:i w:val="0"/>
          <w:color w:val="000000"/>
          <w:sz w:val="22"/>
          <w:szCs w:val="22"/>
        </w:rPr>
        <w:t xml:space="preserve">to address financial fraud and malpractice or misconduct by public bodies and corporations. Others concern exemptions related to the functions of statutory bodies that carry out audits and of the Bank of England, and that hear complaints from the public, such ombudspersons and commissioners. There are provisions exempting application of </w:t>
      </w:r>
      <w:r w:rsidR="00A4393D" w:rsidRPr="00FC077F">
        <w:rPr>
          <w:rStyle w:val="Emphasis"/>
          <w:rFonts w:ascii="Franklin Gothic Book" w:hAnsi="Franklin Gothic Book"/>
          <w:i w:val="0"/>
          <w:color w:val="000000"/>
          <w:sz w:val="22"/>
          <w:szCs w:val="22"/>
        </w:rPr>
        <w:t>certain articles of the GDP</w:t>
      </w:r>
      <w:r w:rsidR="00A9169C" w:rsidRPr="00FC077F">
        <w:rPr>
          <w:rStyle w:val="Emphasis"/>
          <w:rFonts w:ascii="Franklin Gothic Book" w:hAnsi="Franklin Gothic Book"/>
          <w:i w:val="0"/>
          <w:color w:val="000000"/>
          <w:sz w:val="22"/>
          <w:szCs w:val="22"/>
        </w:rPr>
        <w:t xml:space="preserve">R in the context of parliamentary privilege, judicial appointments and independence, legal privilege, self-incrimination, </w:t>
      </w:r>
      <w:r w:rsidR="0005791A" w:rsidRPr="00FC077F">
        <w:rPr>
          <w:rStyle w:val="Emphasis"/>
          <w:rFonts w:ascii="Franklin Gothic Book" w:hAnsi="Franklin Gothic Book"/>
          <w:i w:val="0"/>
          <w:color w:val="000000"/>
          <w:sz w:val="22"/>
          <w:szCs w:val="22"/>
        </w:rPr>
        <w:t>for reasons of freedom of expression and information, for research, statistics and archiving, and for health, social work, education and child abuse.</w:t>
      </w:r>
    </w:p>
    <w:p w14:paraId="6F164F1C" w14:textId="77777777" w:rsidR="007023A0" w:rsidRPr="00FC077F" w:rsidRDefault="00674564" w:rsidP="007023A0">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rPr>
        <w:t>These exemptions are, on their face, in keeping with the list in Article 23(1)(</w:t>
      </w:r>
      <w:proofErr w:type="spellStart"/>
      <w:r w:rsidRPr="00FC077F">
        <w:rPr>
          <w:rStyle w:val="Emphasis"/>
          <w:rFonts w:ascii="Franklin Gothic Book" w:hAnsi="Franklin Gothic Book"/>
          <w:i w:val="0"/>
          <w:color w:val="000000"/>
          <w:sz w:val="22"/>
          <w:szCs w:val="22"/>
        </w:rPr>
        <w:t>i</w:t>
      </w:r>
      <w:proofErr w:type="spellEnd"/>
      <w:r w:rsidRPr="00FC077F">
        <w:rPr>
          <w:rStyle w:val="Emphasis"/>
          <w:rFonts w:ascii="Franklin Gothic Book" w:hAnsi="Franklin Gothic Book"/>
          <w:i w:val="0"/>
          <w:color w:val="000000"/>
          <w:sz w:val="22"/>
          <w:szCs w:val="22"/>
        </w:rPr>
        <w:t>) of functions that constitute an “</w:t>
      </w:r>
      <w:r w:rsidRPr="00FC077F">
        <w:rPr>
          <w:rStyle w:val="Emphasis"/>
          <w:rFonts w:ascii="Franklin Gothic Book" w:hAnsi="Franklin Gothic Book"/>
          <w:color w:val="000000"/>
          <w:sz w:val="22"/>
          <w:szCs w:val="22"/>
        </w:rPr>
        <w:t>important public interest</w:t>
      </w:r>
      <w:r w:rsidRPr="00FC077F">
        <w:rPr>
          <w:rStyle w:val="Emphasis"/>
          <w:rFonts w:ascii="Franklin Gothic Book" w:hAnsi="Franklin Gothic Book"/>
          <w:i w:val="0"/>
          <w:color w:val="000000"/>
          <w:sz w:val="22"/>
          <w:szCs w:val="22"/>
        </w:rPr>
        <w:t>”</w:t>
      </w:r>
      <w:r w:rsidR="007023A0" w:rsidRPr="00FC077F">
        <w:rPr>
          <w:rStyle w:val="Emphasis"/>
          <w:rFonts w:ascii="Franklin Gothic Book" w:hAnsi="Franklin Gothic Book"/>
          <w:i w:val="0"/>
          <w:color w:val="000000"/>
          <w:sz w:val="22"/>
          <w:szCs w:val="22"/>
        </w:rPr>
        <w:t>. “</w:t>
      </w:r>
      <w:r w:rsidR="00E60CAD" w:rsidRPr="00FC077F">
        <w:rPr>
          <w:rStyle w:val="Emphasis"/>
          <w:rFonts w:ascii="Franklin Gothic Book" w:hAnsi="Franklin Gothic Book"/>
          <w:i w:val="0"/>
          <w:color w:val="000000"/>
          <w:sz w:val="22"/>
          <w:szCs w:val="22"/>
        </w:rPr>
        <w:t>I</w:t>
      </w:r>
      <w:r w:rsidR="007023A0" w:rsidRPr="00FC077F">
        <w:rPr>
          <w:rStyle w:val="Emphasis"/>
          <w:rFonts w:ascii="Franklin Gothic Book" w:hAnsi="Franklin Gothic Book"/>
          <w:i w:val="0"/>
          <w:color w:val="000000"/>
          <w:sz w:val="22"/>
          <w:szCs w:val="22"/>
        </w:rPr>
        <w:t xml:space="preserve">mmigration control” </w:t>
      </w:r>
      <w:r w:rsidR="004F2155" w:rsidRPr="00FC077F">
        <w:rPr>
          <w:rStyle w:val="Emphasis"/>
          <w:rFonts w:ascii="Franklin Gothic Book" w:hAnsi="Franklin Gothic Book"/>
          <w:i w:val="0"/>
          <w:color w:val="000000"/>
          <w:sz w:val="22"/>
          <w:szCs w:val="22"/>
        </w:rPr>
        <w:t xml:space="preserve">stands as an outlier, with no clear home </w:t>
      </w:r>
      <w:r w:rsidR="007023A0" w:rsidRPr="00FC077F">
        <w:rPr>
          <w:rStyle w:val="Emphasis"/>
          <w:rFonts w:ascii="Franklin Gothic Book" w:hAnsi="Franklin Gothic Book"/>
          <w:i w:val="0"/>
          <w:color w:val="000000"/>
          <w:sz w:val="22"/>
          <w:szCs w:val="22"/>
        </w:rPr>
        <w:t xml:space="preserve">among the enumerated functions that meet this high threshold: </w:t>
      </w:r>
    </w:p>
    <w:p w14:paraId="45E5E7EC"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national security;</w:t>
      </w:r>
    </w:p>
    <w:p w14:paraId="1FFF2F9D"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defence;</w:t>
      </w:r>
    </w:p>
    <w:p w14:paraId="1BD25C93"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public security;</w:t>
      </w:r>
    </w:p>
    <w:p w14:paraId="70363244"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lastRenderedPageBreak/>
        <w:t>the prevention, investigation, detection or prosecution of criminal offense or the execution of criminal penalties, including the safeguarding against and the prevention of threats to public security;</w:t>
      </w:r>
    </w:p>
    <w:p w14:paraId="6A3343C0"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 xml:space="preserve">other important objectives of </w:t>
      </w:r>
      <w:proofErr w:type="gramStart"/>
      <w:r w:rsidRPr="00FC077F">
        <w:rPr>
          <w:rStyle w:val="Emphasis"/>
          <w:rFonts w:ascii="Franklin Gothic Book" w:hAnsi="Franklin Gothic Book"/>
          <w:color w:val="000000"/>
          <w:sz w:val="22"/>
          <w:szCs w:val="22"/>
        </w:rPr>
        <w:t>general public</w:t>
      </w:r>
      <w:proofErr w:type="gramEnd"/>
      <w:r w:rsidRPr="00FC077F">
        <w:rPr>
          <w:rStyle w:val="Emphasis"/>
          <w:rFonts w:ascii="Franklin Gothic Book" w:hAnsi="Franklin Gothic Book"/>
          <w:color w:val="000000"/>
          <w:sz w:val="22"/>
          <w:szCs w:val="22"/>
        </w:rPr>
        <w:t xml:space="preserve"> interest of the Union or a of a Member States, in particular an important economic or financial interest of the Union or of a Member State, including monetary, budgetary and taxation matters, public health and social security;</w:t>
      </w:r>
    </w:p>
    <w:p w14:paraId="4BBB1010"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the protection of judicial independence and judicial proceedings;</w:t>
      </w:r>
    </w:p>
    <w:p w14:paraId="6264248E"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the prevention, investigation, detection and prosecution of breaches of ethics for regulated professions;</w:t>
      </w:r>
    </w:p>
    <w:p w14:paraId="36DB4742"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monitoring, inspection or regulatory function connected, even occasionally, to the exercise of official authority in the cases referred to in points (a) to (e) and (g);</w:t>
      </w:r>
    </w:p>
    <w:p w14:paraId="1549897E"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color w:val="000000"/>
          <w:sz w:val="22"/>
          <w:szCs w:val="22"/>
        </w:rPr>
      </w:pPr>
      <w:r w:rsidRPr="00FC077F">
        <w:rPr>
          <w:rStyle w:val="Emphasis"/>
          <w:rFonts w:ascii="Franklin Gothic Book" w:hAnsi="Franklin Gothic Book"/>
          <w:color w:val="000000"/>
          <w:sz w:val="22"/>
          <w:szCs w:val="22"/>
        </w:rPr>
        <w:t>the protection of the data subject or the rights and freedoms of others;</w:t>
      </w:r>
    </w:p>
    <w:p w14:paraId="412C6A6F" w14:textId="77777777" w:rsidR="007023A0" w:rsidRPr="00FC077F" w:rsidRDefault="007023A0" w:rsidP="007023A0">
      <w:pPr>
        <w:pStyle w:val="NormalWeb"/>
        <w:numPr>
          <w:ilvl w:val="0"/>
          <w:numId w:val="22"/>
        </w:numPr>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color w:val="000000"/>
          <w:sz w:val="22"/>
          <w:szCs w:val="22"/>
        </w:rPr>
        <w:t>the enforcement of civil law claims.</w:t>
      </w:r>
    </w:p>
    <w:p w14:paraId="5FFBFEFC" w14:textId="77777777" w:rsidR="00B155F6" w:rsidRPr="00FC077F" w:rsidRDefault="00004A07" w:rsidP="00B155F6">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rPr>
        <w:t>There is no plausible basis for characterising “immigration enforcement” as either a matter of “</w:t>
      </w:r>
      <w:r w:rsidRPr="00FC077F">
        <w:rPr>
          <w:rStyle w:val="Emphasis"/>
          <w:rFonts w:ascii="Franklin Gothic Book" w:hAnsi="Franklin Gothic Book"/>
          <w:color w:val="000000"/>
          <w:sz w:val="22"/>
          <w:szCs w:val="22"/>
        </w:rPr>
        <w:t>national security</w:t>
      </w:r>
      <w:r w:rsidRPr="00FC077F">
        <w:rPr>
          <w:rStyle w:val="Emphasis"/>
          <w:rFonts w:ascii="Franklin Gothic Book" w:hAnsi="Franklin Gothic Book"/>
          <w:i w:val="0"/>
          <w:color w:val="000000"/>
          <w:sz w:val="22"/>
          <w:szCs w:val="22"/>
        </w:rPr>
        <w:t>” or “</w:t>
      </w:r>
      <w:r w:rsidRPr="00FC077F">
        <w:rPr>
          <w:rStyle w:val="Emphasis"/>
          <w:rFonts w:ascii="Franklin Gothic Book" w:hAnsi="Franklin Gothic Book"/>
          <w:color w:val="000000"/>
          <w:sz w:val="22"/>
          <w:szCs w:val="22"/>
        </w:rPr>
        <w:t>defence</w:t>
      </w:r>
      <w:r w:rsidRPr="00FC077F">
        <w:rPr>
          <w:rStyle w:val="Emphasis"/>
          <w:rFonts w:ascii="Franklin Gothic Book" w:hAnsi="Franklin Gothic Book"/>
          <w:i w:val="0"/>
          <w:color w:val="000000"/>
          <w:sz w:val="22"/>
          <w:szCs w:val="22"/>
        </w:rPr>
        <w:t xml:space="preserve">”; and it clearly falls outside the purview of the functions enumerated in sub-paragraphs </w:t>
      </w:r>
      <w:r w:rsidRPr="00FC077F">
        <w:rPr>
          <w:rStyle w:val="Emphasis"/>
          <w:rFonts w:ascii="Franklin Gothic Book" w:hAnsi="Franklin Gothic Book"/>
          <w:color w:val="000000"/>
          <w:sz w:val="22"/>
          <w:szCs w:val="22"/>
        </w:rPr>
        <w:t>(d)</w:t>
      </w:r>
      <w:r w:rsidRPr="00FC077F">
        <w:rPr>
          <w:rStyle w:val="Emphasis"/>
          <w:rFonts w:ascii="Franklin Gothic Book" w:hAnsi="Franklin Gothic Book"/>
          <w:i w:val="0"/>
          <w:color w:val="000000"/>
          <w:sz w:val="22"/>
          <w:szCs w:val="22"/>
        </w:rPr>
        <w:t xml:space="preserve"> through </w:t>
      </w:r>
      <w:r w:rsidRPr="00FC077F">
        <w:rPr>
          <w:rStyle w:val="Emphasis"/>
          <w:rFonts w:ascii="Franklin Gothic Book" w:hAnsi="Franklin Gothic Book"/>
          <w:color w:val="000000"/>
          <w:sz w:val="22"/>
          <w:szCs w:val="22"/>
        </w:rPr>
        <w:t>(j)</w:t>
      </w:r>
      <w:r w:rsidRPr="00FC077F">
        <w:rPr>
          <w:rStyle w:val="Emphasis"/>
          <w:rFonts w:ascii="Franklin Gothic Book" w:hAnsi="Franklin Gothic Book"/>
          <w:i w:val="0"/>
          <w:color w:val="000000"/>
          <w:sz w:val="22"/>
          <w:szCs w:val="22"/>
        </w:rPr>
        <w:t>. What remains is “</w:t>
      </w:r>
      <w:r w:rsidRPr="00FC077F">
        <w:rPr>
          <w:rStyle w:val="Emphasis"/>
          <w:rFonts w:ascii="Franklin Gothic Book" w:hAnsi="Franklin Gothic Book"/>
          <w:color w:val="000000"/>
          <w:sz w:val="22"/>
          <w:szCs w:val="22"/>
        </w:rPr>
        <w:t>public security</w:t>
      </w:r>
      <w:r w:rsidRPr="00FC077F">
        <w:rPr>
          <w:rStyle w:val="Emphasis"/>
          <w:rFonts w:ascii="Franklin Gothic Book" w:hAnsi="Franklin Gothic Book"/>
          <w:i w:val="0"/>
          <w:color w:val="000000"/>
          <w:sz w:val="22"/>
          <w:szCs w:val="22"/>
        </w:rPr>
        <w:t xml:space="preserve">” as a basis for limiting the reach of the GDPR in this context. However, “public security” </w:t>
      </w:r>
      <w:r w:rsidR="004F2155" w:rsidRPr="00FC077F">
        <w:rPr>
          <w:rStyle w:val="Emphasis"/>
          <w:rFonts w:ascii="Franklin Gothic Book" w:hAnsi="Franklin Gothic Book"/>
          <w:i w:val="0"/>
          <w:color w:val="000000"/>
          <w:sz w:val="22"/>
          <w:szCs w:val="22"/>
        </w:rPr>
        <w:t xml:space="preserve">is itself a very narrow concept, which has </w:t>
      </w:r>
      <w:r w:rsidR="0060238E" w:rsidRPr="00FC077F">
        <w:rPr>
          <w:rStyle w:val="Emphasis"/>
          <w:rFonts w:ascii="Franklin Gothic Book" w:hAnsi="Franklin Gothic Book"/>
          <w:i w:val="0"/>
          <w:color w:val="000000"/>
          <w:sz w:val="22"/>
          <w:szCs w:val="22"/>
        </w:rPr>
        <w:t>been summarised</w:t>
      </w:r>
      <w:r w:rsidR="00B155F6" w:rsidRPr="00FC077F">
        <w:rPr>
          <w:rStyle w:val="Emphasis"/>
          <w:rFonts w:ascii="Franklin Gothic Book" w:hAnsi="Franklin Gothic Book"/>
          <w:i w:val="0"/>
          <w:color w:val="000000"/>
          <w:sz w:val="22"/>
          <w:szCs w:val="22"/>
        </w:rPr>
        <w:t xml:space="preserve"> this way in the proposed EU regulation on the free flow of non-personal data, recently adopted by the European Parliament:</w:t>
      </w:r>
    </w:p>
    <w:p w14:paraId="61720181" w14:textId="77777777" w:rsidR="00B155F6" w:rsidRPr="00FC077F" w:rsidRDefault="00B155F6" w:rsidP="00B155F6">
      <w:pPr>
        <w:pStyle w:val="NormalWeb"/>
        <w:spacing w:before="0" w:beforeAutospacing="0" w:after="240" w:afterAutospacing="0"/>
        <w:ind w:left="705"/>
        <w:jc w:val="both"/>
        <w:rPr>
          <w:rFonts w:ascii="Franklin Gothic Book" w:hAnsi="Franklin Gothic Book"/>
          <w:iCs/>
          <w:color w:val="000000"/>
          <w:sz w:val="22"/>
          <w:szCs w:val="22"/>
        </w:rPr>
      </w:pPr>
      <w:r w:rsidRPr="00FC077F">
        <w:rPr>
          <w:rStyle w:val="Emphasis"/>
          <w:rFonts w:ascii="Franklin Gothic Book" w:hAnsi="Franklin Gothic Book"/>
          <w:color w:val="000000"/>
          <w:sz w:val="22"/>
          <w:szCs w:val="22"/>
        </w:rPr>
        <w:t xml:space="preserve">The concept of ‘public security’, within the meaning of Article 52 of the TFEU and as interpreted by the Court of Justice, covers both the internal and external security of a Member State, as well as issues of public safety, </w:t>
      </w:r>
      <w:proofErr w:type="gramStart"/>
      <w:r w:rsidRPr="00FC077F">
        <w:rPr>
          <w:rStyle w:val="Emphasis"/>
          <w:rFonts w:ascii="Franklin Gothic Book" w:hAnsi="Franklin Gothic Book"/>
          <w:color w:val="000000"/>
          <w:sz w:val="22"/>
          <w:szCs w:val="22"/>
        </w:rPr>
        <w:t>in particular to</w:t>
      </w:r>
      <w:proofErr w:type="gramEnd"/>
      <w:r w:rsidRPr="00FC077F">
        <w:rPr>
          <w:rStyle w:val="Emphasis"/>
          <w:rFonts w:ascii="Franklin Gothic Book" w:hAnsi="Franklin Gothic Book"/>
          <w:color w:val="000000"/>
          <w:sz w:val="22"/>
          <w:szCs w:val="22"/>
        </w:rPr>
        <w:t xml:space="preserve"> allow for the investigation, detection and prosecution of criminal offences. </w:t>
      </w:r>
      <w:r w:rsidRPr="00FC077F">
        <w:rPr>
          <w:rStyle w:val="Emphasis"/>
          <w:rFonts w:ascii="Franklin Gothic Book" w:hAnsi="Franklin Gothic Book"/>
          <w:color w:val="000000"/>
          <w:sz w:val="22"/>
          <w:szCs w:val="22"/>
          <w:u w:val="single"/>
        </w:rPr>
        <w:t>It presupposes the existence of a genuine and sufficiently serious threat affecting one of the fundamental interests of society, such as a threat to the functioning of institutions and essential public services, and the survival of the population, as well as by the risk of a serious disturbance to foreign relations or the peaceful coexistence of nations, or a risk to military interests</w:t>
      </w:r>
      <w:r w:rsidRPr="00FC077F">
        <w:rPr>
          <w:rStyle w:val="Emphasis"/>
          <w:rFonts w:ascii="Franklin Gothic Book" w:hAnsi="Franklin Gothic Book"/>
          <w:color w:val="000000"/>
          <w:sz w:val="22"/>
          <w:szCs w:val="22"/>
        </w:rPr>
        <w:t>.</w:t>
      </w:r>
      <w:r w:rsidRPr="00FC077F">
        <w:rPr>
          <w:rStyle w:val="FootnoteReference"/>
          <w:rFonts w:ascii="Franklin Gothic Book" w:hAnsi="Franklin Gothic Book"/>
          <w:iCs/>
          <w:color w:val="000000"/>
          <w:sz w:val="22"/>
          <w:szCs w:val="22"/>
        </w:rPr>
        <w:footnoteReference w:id="10"/>
      </w:r>
      <w:r w:rsidRPr="00FC077F">
        <w:rPr>
          <w:rStyle w:val="Emphasis"/>
          <w:rFonts w:ascii="Franklin Gothic Book" w:hAnsi="Franklin Gothic Book"/>
          <w:color w:val="000000"/>
          <w:sz w:val="22"/>
          <w:szCs w:val="22"/>
        </w:rPr>
        <w:t xml:space="preserve"> </w:t>
      </w:r>
      <w:r w:rsidR="00295AEB" w:rsidRPr="00FC077F">
        <w:rPr>
          <w:rStyle w:val="Emphasis"/>
          <w:rFonts w:ascii="Franklin Gothic Book" w:hAnsi="Franklin Gothic Book"/>
          <w:i w:val="0"/>
          <w:color w:val="000000"/>
          <w:sz w:val="22"/>
          <w:szCs w:val="22"/>
        </w:rPr>
        <w:t>(emphasis added)</w:t>
      </w:r>
    </w:p>
    <w:p w14:paraId="6DB0AAA5" w14:textId="77777777" w:rsidR="00B155F6" w:rsidRPr="00FC077F" w:rsidRDefault="00004A07" w:rsidP="00B155F6">
      <w:pPr>
        <w:pStyle w:val="NormalWeb"/>
        <w:spacing w:before="0" w:beforeAutospacing="0" w:after="240" w:afterAutospacing="0"/>
        <w:jc w:val="both"/>
        <w:rPr>
          <w:rFonts w:ascii="Franklin Gothic Book" w:hAnsi="Franklin Gothic Book"/>
          <w:sz w:val="22"/>
          <w:szCs w:val="22"/>
          <w:lang w:val="en-US"/>
        </w:rPr>
      </w:pPr>
      <w:r w:rsidRPr="00FC077F">
        <w:rPr>
          <w:rFonts w:ascii="Franklin Gothic Book" w:hAnsi="Franklin Gothic Book"/>
          <w:sz w:val="22"/>
          <w:szCs w:val="22"/>
        </w:rPr>
        <w:t xml:space="preserve">It is natural that the threshold for deviating from the GDPR is high. </w:t>
      </w:r>
      <w:r w:rsidRPr="00FC077F">
        <w:rPr>
          <w:rFonts w:ascii="Franklin Gothic Book" w:hAnsi="Franklin Gothic Book"/>
          <w:sz w:val="22"/>
          <w:szCs w:val="22"/>
          <w:lang w:val="en-US"/>
        </w:rPr>
        <w:t>T</w:t>
      </w:r>
      <w:r w:rsidR="00F97079" w:rsidRPr="00FC077F">
        <w:rPr>
          <w:rFonts w:ascii="Franklin Gothic Book" w:hAnsi="Franklin Gothic Book"/>
          <w:sz w:val="22"/>
          <w:szCs w:val="22"/>
          <w:lang w:val="en-US"/>
        </w:rPr>
        <w:t>he requirements of Article 23 are consistent with the jurisprudence of the European Court of Human Rights, which limits governments’ margin of discretion to restrict privacy rights, when information of a private nature or the fundamental rights of data subjects are at stake.</w:t>
      </w:r>
      <w:r w:rsidR="00F97079" w:rsidRPr="00FC077F">
        <w:rPr>
          <w:rStyle w:val="FootnoteReference"/>
          <w:rFonts w:ascii="Franklin Gothic Book" w:hAnsi="Franklin Gothic Book"/>
          <w:sz w:val="22"/>
          <w:szCs w:val="22"/>
          <w:lang w:val="en-US"/>
        </w:rPr>
        <w:footnoteReference w:id="11"/>
      </w:r>
      <w:r w:rsidR="00E82491" w:rsidRPr="00FC077F">
        <w:rPr>
          <w:rFonts w:ascii="Franklin Gothic Book" w:hAnsi="Franklin Gothic Book"/>
          <w:sz w:val="22"/>
          <w:szCs w:val="22"/>
          <w:lang w:val="en-US"/>
        </w:rPr>
        <w:t xml:space="preserve"> </w:t>
      </w:r>
      <w:r w:rsidR="00B155F6" w:rsidRPr="00FC077F">
        <w:rPr>
          <w:rFonts w:ascii="Franklin Gothic Book" w:hAnsi="Franklin Gothic Book"/>
          <w:sz w:val="22"/>
          <w:szCs w:val="22"/>
          <w:lang w:val="en-US"/>
        </w:rPr>
        <w:t>Measures infringing privacy and data protection rights in such contexts must be justified by a “</w:t>
      </w:r>
      <w:r w:rsidR="00B155F6" w:rsidRPr="00FC077F">
        <w:rPr>
          <w:rFonts w:ascii="Franklin Gothic Book" w:hAnsi="Franklin Gothic Book"/>
          <w:i/>
          <w:iCs/>
          <w:sz w:val="22"/>
          <w:szCs w:val="22"/>
          <w:lang w:val="en-US"/>
        </w:rPr>
        <w:t>pressing social need</w:t>
      </w:r>
      <w:r w:rsidR="00B155F6" w:rsidRPr="00FC077F">
        <w:rPr>
          <w:rFonts w:ascii="Franklin Gothic Book" w:hAnsi="Franklin Gothic Book"/>
          <w:sz w:val="22"/>
          <w:szCs w:val="22"/>
          <w:lang w:val="en-US"/>
        </w:rPr>
        <w:t>” and must be “</w:t>
      </w:r>
      <w:r w:rsidR="00B155F6" w:rsidRPr="00FC077F">
        <w:rPr>
          <w:rFonts w:ascii="Franklin Gothic Book" w:hAnsi="Franklin Gothic Book"/>
          <w:i/>
          <w:iCs/>
          <w:sz w:val="22"/>
          <w:szCs w:val="22"/>
          <w:lang w:val="en-US"/>
        </w:rPr>
        <w:t>balanced against the seriousness of the interference</w:t>
      </w:r>
      <w:r w:rsidR="00B155F6" w:rsidRPr="00FC077F">
        <w:rPr>
          <w:rFonts w:ascii="Franklin Gothic Book" w:hAnsi="Franklin Gothic Book"/>
          <w:sz w:val="22"/>
          <w:szCs w:val="22"/>
          <w:lang w:val="en-US"/>
        </w:rPr>
        <w:t>” with the affected individuals’ fundamental rights.</w:t>
      </w:r>
      <w:r w:rsidR="00B155F6" w:rsidRPr="00FC077F">
        <w:rPr>
          <w:rStyle w:val="FootnoteReference"/>
          <w:rFonts w:ascii="Franklin Gothic Book" w:hAnsi="Franklin Gothic Book"/>
          <w:sz w:val="22"/>
          <w:szCs w:val="22"/>
          <w:lang w:val="en-US"/>
        </w:rPr>
        <w:footnoteReference w:id="12"/>
      </w:r>
      <w:r w:rsidR="00B155F6" w:rsidRPr="00FC077F">
        <w:rPr>
          <w:rFonts w:ascii="Franklin Gothic Book" w:hAnsi="Franklin Gothic Book"/>
          <w:sz w:val="22"/>
          <w:szCs w:val="22"/>
          <w:lang w:val="en-US"/>
        </w:rPr>
        <w:t xml:space="preserve"> Member states do not</w:t>
      </w:r>
      <w:r w:rsidRPr="00FC077F">
        <w:rPr>
          <w:rFonts w:ascii="Franklin Gothic Book" w:hAnsi="Franklin Gothic Book"/>
          <w:sz w:val="22"/>
          <w:szCs w:val="22"/>
          <w:lang w:val="en-US"/>
        </w:rPr>
        <w:t xml:space="preserve"> </w:t>
      </w:r>
      <w:r w:rsidR="00B155F6" w:rsidRPr="00FC077F">
        <w:rPr>
          <w:rFonts w:ascii="Franklin Gothic Book" w:hAnsi="Franklin Gothic Book"/>
          <w:sz w:val="22"/>
          <w:szCs w:val="22"/>
          <w:lang w:val="en-US"/>
        </w:rPr>
        <w:t xml:space="preserve">have unfettered discretion in </w:t>
      </w:r>
      <w:r w:rsidRPr="00FC077F">
        <w:rPr>
          <w:rFonts w:ascii="Franklin Gothic Book" w:hAnsi="Franklin Gothic Book"/>
          <w:sz w:val="22"/>
          <w:szCs w:val="22"/>
          <w:lang w:val="en-US"/>
        </w:rPr>
        <w:t>carving out exceptions to the GDPR</w:t>
      </w:r>
      <w:r w:rsidR="00B155F6" w:rsidRPr="00FC077F">
        <w:rPr>
          <w:rFonts w:ascii="Franklin Gothic Book" w:hAnsi="Franklin Gothic Book"/>
          <w:sz w:val="22"/>
          <w:szCs w:val="22"/>
          <w:lang w:val="en-US"/>
        </w:rPr>
        <w:t xml:space="preserve">. </w:t>
      </w:r>
    </w:p>
    <w:p w14:paraId="2D8F74A7" w14:textId="77777777" w:rsidR="00C14287" w:rsidRPr="00FC077F" w:rsidRDefault="00E82491" w:rsidP="00C14287">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rPr>
        <w:t>T</w:t>
      </w:r>
      <w:r w:rsidR="00C14287" w:rsidRPr="00FC077F">
        <w:rPr>
          <w:rStyle w:val="Emphasis"/>
          <w:rFonts w:ascii="Franklin Gothic Book" w:hAnsi="Franklin Gothic Book"/>
          <w:i w:val="0"/>
          <w:color w:val="000000"/>
          <w:sz w:val="22"/>
          <w:szCs w:val="22"/>
        </w:rPr>
        <w:t>he enforc</w:t>
      </w:r>
      <w:r w:rsidRPr="00FC077F">
        <w:rPr>
          <w:rStyle w:val="Emphasis"/>
          <w:rFonts w:ascii="Franklin Gothic Book" w:hAnsi="Franklin Gothic Book"/>
          <w:i w:val="0"/>
          <w:color w:val="000000"/>
          <w:sz w:val="22"/>
          <w:szCs w:val="22"/>
        </w:rPr>
        <w:t>ement of immigration laws cannot reasonably be said to meet the threshold of “</w:t>
      </w:r>
      <w:r w:rsidRPr="00FC077F">
        <w:rPr>
          <w:rStyle w:val="Emphasis"/>
          <w:rFonts w:ascii="Franklin Gothic Book" w:hAnsi="Franklin Gothic Book"/>
          <w:color w:val="000000"/>
          <w:sz w:val="22"/>
          <w:szCs w:val="22"/>
        </w:rPr>
        <w:t>pressing social need</w:t>
      </w:r>
      <w:r w:rsidRPr="00FC077F">
        <w:rPr>
          <w:rStyle w:val="Emphasis"/>
          <w:rFonts w:ascii="Franklin Gothic Book" w:hAnsi="Franklin Gothic Book"/>
          <w:i w:val="0"/>
          <w:color w:val="000000"/>
          <w:sz w:val="22"/>
          <w:szCs w:val="22"/>
        </w:rPr>
        <w:t>”, particularly (as will be see</w:t>
      </w:r>
      <w:r w:rsidR="00057A52" w:rsidRPr="00FC077F">
        <w:rPr>
          <w:rStyle w:val="Emphasis"/>
          <w:rFonts w:ascii="Franklin Gothic Book" w:hAnsi="Franklin Gothic Book"/>
          <w:i w:val="0"/>
          <w:color w:val="000000"/>
          <w:sz w:val="22"/>
          <w:szCs w:val="22"/>
        </w:rPr>
        <w:t>n</w:t>
      </w:r>
      <w:r w:rsidRPr="00FC077F">
        <w:rPr>
          <w:rStyle w:val="Emphasis"/>
          <w:rFonts w:ascii="Franklin Gothic Book" w:hAnsi="Franklin Gothic Book"/>
          <w:i w:val="0"/>
          <w:color w:val="000000"/>
          <w:sz w:val="22"/>
          <w:szCs w:val="22"/>
        </w:rPr>
        <w:t xml:space="preserve"> below) given the fundamental rights at stake, including but not limited to data protection.</w:t>
      </w:r>
      <w:r w:rsidR="00C14287" w:rsidRPr="00FC077F">
        <w:rPr>
          <w:rStyle w:val="Emphasis"/>
          <w:rFonts w:ascii="Franklin Gothic Book" w:hAnsi="Franklin Gothic Book"/>
          <w:i w:val="0"/>
          <w:color w:val="000000"/>
          <w:sz w:val="22"/>
          <w:szCs w:val="22"/>
        </w:rPr>
        <w:t xml:space="preserve"> Treating “immigration enforcement” as an important public interest, akin to national </w:t>
      </w:r>
      <w:r w:rsidR="00057A52" w:rsidRPr="00FC077F">
        <w:rPr>
          <w:rStyle w:val="Emphasis"/>
          <w:rFonts w:ascii="Franklin Gothic Book" w:hAnsi="Franklin Gothic Book"/>
          <w:i w:val="0"/>
          <w:color w:val="000000"/>
          <w:sz w:val="22"/>
          <w:szCs w:val="22"/>
        </w:rPr>
        <w:t xml:space="preserve">or public </w:t>
      </w:r>
      <w:r w:rsidR="00C14287" w:rsidRPr="00FC077F">
        <w:rPr>
          <w:rStyle w:val="Emphasis"/>
          <w:rFonts w:ascii="Franklin Gothic Book" w:hAnsi="Franklin Gothic Book"/>
          <w:i w:val="0"/>
          <w:color w:val="000000"/>
          <w:sz w:val="22"/>
          <w:szCs w:val="22"/>
        </w:rPr>
        <w:t xml:space="preserve">security, would stretch the application of Article 23(1) beyond its intended narrow </w:t>
      </w:r>
      <w:r w:rsidR="004F2155" w:rsidRPr="00FC077F">
        <w:rPr>
          <w:rStyle w:val="Emphasis"/>
          <w:rFonts w:ascii="Franklin Gothic Book" w:hAnsi="Franklin Gothic Book"/>
          <w:i w:val="0"/>
          <w:color w:val="000000"/>
          <w:sz w:val="22"/>
          <w:szCs w:val="22"/>
        </w:rPr>
        <w:t>scope</w:t>
      </w:r>
      <w:r w:rsidR="00C14287" w:rsidRPr="00FC077F">
        <w:rPr>
          <w:rStyle w:val="Emphasis"/>
          <w:rFonts w:ascii="Franklin Gothic Book" w:hAnsi="Franklin Gothic Book"/>
          <w:i w:val="0"/>
          <w:color w:val="000000"/>
          <w:sz w:val="22"/>
          <w:szCs w:val="22"/>
        </w:rPr>
        <w:t xml:space="preserve">, creating a wide category of individuals who potentially fall outside GDPR </w:t>
      </w:r>
      <w:r w:rsidR="00C14287" w:rsidRPr="00FC077F">
        <w:rPr>
          <w:rStyle w:val="Emphasis"/>
          <w:rFonts w:ascii="Franklin Gothic Book" w:hAnsi="Franklin Gothic Book"/>
          <w:i w:val="0"/>
          <w:color w:val="000000"/>
          <w:sz w:val="22"/>
          <w:szCs w:val="22"/>
        </w:rPr>
        <w:lastRenderedPageBreak/>
        <w:t xml:space="preserve">protections because of </w:t>
      </w:r>
      <w:r w:rsidRPr="00FC077F">
        <w:rPr>
          <w:rStyle w:val="Emphasis"/>
          <w:rFonts w:ascii="Franklin Gothic Book" w:hAnsi="Franklin Gothic Book"/>
          <w:i w:val="0"/>
          <w:color w:val="000000"/>
          <w:sz w:val="22"/>
          <w:szCs w:val="22"/>
        </w:rPr>
        <w:t>unclear</w:t>
      </w:r>
      <w:r w:rsidR="00C14287" w:rsidRPr="00FC077F">
        <w:rPr>
          <w:rStyle w:val="Emphasis"/>
          <w:rFonts w:ascii="Franklin Gothic Book" w:hAnsi="Franklin Gothic Book"/>
          <w:i w:val="0"/>
          <w:color w:val="000000"/>
          <w:sz w:val="22"/>
          <w:szCs w:val="22"/>
        </w:rPr>
        <w:t xml:space="preserve"> distinctions </w:t>
      </w:r>
      <w:r w:rsidRPr="00FC077F">
        <w:rPr>
          <w:rStyle w:val="Emphasis"/>
          <w:rFonts w:ascii="Franklin Gothic Book" w:hAnsi="Franklin Gothic Book"/>
          <w:i w:val="0"/>
          <w:color w:val="000000"/>
          <w:sz w:val="22"/>
          <w:szCs w:val="22"/>
        </w:rPr>
        <w:t>based on their</w:t>
      </w:r>
      <w:r w:rsidR="00C14287" w:rsidRPr="00FC077F">
        <w:rPr>
          <w:rStyle w:val="Emphasis"/>
          <w:rFonts w:ascii="Franklin Gothic Book" w:hAnsi="Franklin Gothic Book"/>
          <w:i w:val="0"/>
          <w:color w:val="000000"/>
          <w:sz w:val="22"/>
          <w:szCs w:val="22"/>
        </w:rPr>
        <w:t xml:space="preserve"> residence status or purported immigration law offences</w:t>
      </w:r>
      <w:r w:rsidR="004F2155" w:rsidRPr="00FC077F">
        <w:rPr>
          <w:rStyle w:val="Emphasis"/>
          <w:rFonts w:ascii="Franklin Gothic Book" w:hAnsi="Franklin Gothic Book"/>
          <w:i w:val="0"/>
          <w:color w:val="000000"/>
          <w:sz w:val="22"/>
          <w:szCs w:val="22"/>
        </w:rPr>
        <w:t>, and exposing them to substantial violations of their fundamental rights</w:t>
      </w:r>
      <w:r w:rsidR="00C14287" w:rsidRPr="00FC077F">
        <w:rPr>
          <w:rStyle w:val="Emphasis"/>
          <w:rFonts w:ascii="Franklin Gothic Book" w:hAnsi="Franklin Gothic Book"/>
          <w:i w:val="0"/>
          <w:color w:val="000000"/>
          <w:sz w:val="22"/>
          <w:szCs w:val="22"/>
        </w:rPr>
        <w:t xml:space="preserve">. </w:t>
      </w:r>
    </w:p>
    <w:p w14:paraId="737AF61E" w14:textId="77777777" w:rsidR="00477CE4" w:rsidRPr="00FC077F" w:rsidRDefault="00477CE4" w:rsidP="00666277">
      <w:pPr>
        <w:pStyle w:val="Heading4"/>
      </w:pPr>
      <w:bookmarkStart w:id="29" w:name="_Toc10494471"/>
      <w:r w:rsidRPr="00FC077F">
        <w:t>The “</w:t>
      </w:r>
      <w:r w:rsidR="00E3079D" w:rsidRPr="00FC077F">
        <w:t>immigration control exemption</w:t>
      </w:r>
      <w:r w:rsidRPr="00FC077F">
        <w:t>” is overbroad, and neither clear nor precise enough to be foreseeable for affected individuals</w:t>
      </w:r>
      <w:bookmarkEnd w:id="29"/>
    </w:p>
    <w:p w14:paraId="4F40D9BA" w14:textId="77777777" w:rsidR="009C3722" w:rsidRPr="00FC077F" w:rsidRDefault="009C3722" w:rsidP="009C3722">
      <w:pPr>
        <w:pStyle w:val="NormalWeb"/>
        <w:spacing w:before="0" w:beforeAutospacing="0" w:after="240" w:afterAutospacing="0"/>
        <w:jc w:val="both"/>
        <w:rPr>
          <w:rStyle w:val="Emphasis"/>
          <w:rFonts w:ascii="Franklin Gothic Book" w:hAnsi="Franklin Gothic Book"/>
          <w:i w:val="0"/>
          <w:iCs w:val="0"/>
          <w:sz w:val="22"/>
          <w:szCs w:val="22"/>
        </w:rPr>
      </w:pPr>
      <w:r w:rsidRPr="00FC077F">
        <w:rPr>
          <w:rFonts w:ascii="Franklin Gothic Book" w:hAnsi="Franklin Gothic Book"/>
          <w:sz w:val="22"/>
          <w:szCs w:val="22"/>
        </w:rPr>
        <w:t>The “immigration exemption” creates a sweeping exception to the protection</w:t>
      </w:r>
      <w:r w:rsidR="00BB0ADF" w:rsidRPr="00FC077F">
        <w:rPr>
          <w:rFonts w:ascii="Franklin Gothic Book" w:hAnsi="Franklin Gothic Book"/>
          <w:sz w:val="22"/>
          <w:szCs w:val="22"/>
        </w:rPr>
        <w:t>s</w:t>
      </w:r>
      <w:r w:rsidRPr="00FC077F">
        <w:rPr>
          <w:rFonts w:ascii="Franklin Gothic Book" w:hAnsi="Franklin Gothic Book"/>
          <w:sz w:val="22"/>
          <w:szCs w:val="22"/>
        </w:rPr>
        <w:t xml:space="preserve"> of the GDPR, </w:t>
      </w:r>
      <w:r w:rsidR="00BB0ADF" w:rsidRPr="00FC077F">
        <w:rPr>
          <w:rFonts w:ascii="Franklin Gothic Book" w:hAnsi="Franklin Gothic Book"/>
          <w:sz w:val="22"/>
          <w:szCs w:val="22"/>
        </w:rPr>
        <w:t>falling well short</w:t>
      </w:r>
      <w:r w:rsidRPr="00FC077F">
        <w:rPr>
          <w:rFonts w:ascii="Franklin Gothic Book" w:hAnsi="Franklin Gothic Book"/>
          <w:sz w:val="22"/>
          <w:szCs w:val="22"/>
        </w:rPr>
        <w:t xml:space="preserve"> </w:t>
      </w:r>
      <w:r w:rsidR="00BB0ADF" w:rsidRPr="00FC077F">
        <w:rPr>
          <w:rFonts w:ascii="Franklin Gothic Book" w:hAnsi="Franklin Gothic Book"/>
          <w:sz w:val="22"/>
          <w:szCs w:val="22"/>
        </w:rPr>
        <w:t xml:space="preserve">of </w:t>
      </w:r>
      <w:r w:rsidRPr="00FC077F">
        <w:rPr>
          <w:rFonts w:ascii="Franklin Gothic Book" w:hAnsi="Franklin Gothic Book"/>
          <w:sz w:val="22"/>
          <w:szCs w:val="22"/>
        </w:rPr>
        <w:t xml:space="preserve">the requirement under Article 23 that measures be clear and precise enough to be foreseeable for affected individuals. </w:t>
      </w:r>
      <w:r w:rsidRPr="00FC077F">
        <w:rPr>
          <w:rStyle w:val="Emphasis"/>
          <w:rFonts w:ascii="Franklin Gothic Book" w:hAnsi="Franklin Gothic Book"/>
          <w:color w:val="000000"/>
          <w:sz w:val="22"/>
          <w:szCs w:val="22"/>
        </w:rPr>
        <w:t xml:space="preserve"> </w:t>
      </w:r>
    </w:p>
    <w:p w14:paraId="05EDA617" w14:textId="77777777" w:rsidR="00080FFE" w:rsidRPr="00FC077F" w:rsidRDefault="009C3722" w:rsidP="00477CE4">
      <w:pPr>
        <w:pStyle w:val="NormalWeb"/>
        <w:spacing w:before="0" w:beforeAutospacing="0" w:after="240" w:afterAutospacing="0"/>
        <w:jc w:val="both"/>
        <w:rPr>
          <w:rFonts w:ascii="Franklin Gothic Book" w:hAnsi="Franklin Gothic Book"/>
          <w:sz w:val="22"/>
          <w:szCs w:val="22"/>
        </w:rPr>
      </w:pPr>
      <w:r w:rsidRPr="00FC077F">
        <w:rPr>
          <w:rFonts w:ascii="Franklin Gothic Book" w:hAnsi="Franklin Gothic Book"/>
          <w:sz w:val="22"/>
          <w:szCs w:val="22"/>
        </w:rPr>
        <w:t>T</w:t>
      </w:r>
      <w:r w:rsidR="00080FFE" w:rsidRPr="00FC077F">
        <w:rPr>
          <w:rFonts w:ascii="Franklin Gothic Book" w:hAnsi="Franklin Gothic Book"/>
          <w:sz w:val="22"/>
          <w:szCs w:val="22"/>
        </w:rPr>
        <w:t>he stated purposes of the “</w:t>
      </w:r>
      <w:r w:rsidR="00E3079D" w:rsidRPr="00FC077F">
        <w:rPr>
          <w:rFonts w:ascii="Franklin Gothic Book" w:hAnsi="Franklin Gothic Book"/>
          <w:sz w:val="22"/>
          <w:szCs w:val="22"/>
        </w:rPr>
        <w:t>immigration control exemption</w:t>
      </w:r>
      <w:r w:rsidR="00080FFE" w:rsidRPr="00FC077F">
        <w:rPr>
          <w:rFonts w:ascii="Franklin Gothic Book" w:hAnsi="Franklin Gothic Book"/>
          <w:sz w:val="22"/>
          <w:szCs w:val="22"/>
        </w:rPr>
        <w:t>” are:</w:t>
      </w:r>
    </w:p>
    <w:p w14:paraId="09097AF4" w14:textId="77777777" w:rsidR="00080FFE" w:rsidRPr="00FC077F" w:rsidRDefault="00080FFE" w:rsidP="00080FFE">
      <w:pPr>
        <w:pStyle w:val="NormalWeb"/>
        <w:numPr>
          <w:ilvl w:val="0"/>
          <w:numId w:val="15"/>
        </w:numPr>
        <w:spacing w:before="0" w:beforeAutospacing="0" w:after="240" w:afterAutospacing="0"/>
        <w:jc w:val="both"/>
        <w:rPr>
          <w:rFonts w:ascii="Franklin Gothic Book" w:hAnsi="Franklin Gothic Book"/>
          <w:sz w:val="22"/>
          <w:szCs w:val="22"/>
        </w:rPr>
      </w:pPr>
      <w:r w:rsidRPr="00FC077F">
        <w:rPr>
          <w:rFonts w:ascii="Franklin Gothic Book" w:hAnsi="Franklin Gothic Book"/>
          <w:sz w:val="22"/>
          <w:szCs w:val="22"/>
        </w:rPr>
        <w:t>the maintenance of effective immigration control, and</w:t>
      </w:r>
    </w:p>
    <w:p w14:paraId="4BBE97C4" w14:textId="77777777" w:rsidR="00080FFE" w:rsidRPr="00FC077F" w:rsidRDefault="00080FFE" w:rsidP="00080FFE">
      <w:pPr>
        <w:pStyle w:val="NormalWeb"/>
        <w:numPr>
          <w:ilvl w:val="0"/>
          <w:numId w:val="15"/>
        </w:numPr>
        <w:spacing w:before="0" w:beforeAutospacing="0" w:after="240" w:afterAutospacing="0"/>
        <w:jc w:val="both"/>
        <w:rPr>
          <w:rFonts w:ascii="Franklin Gothic Book" w:hAnsi="Franklin Gothic Book"/>
          <w:sz w:val="22"/>
          <w:szCs w:val="22"/>
        </w:rPr>
      </w:pPr>
      <w:r w:rsidRPr="00FC077F">
        <w:rPr>
          <w:rFonts w:ascii="Franklin Gothic Book" w:hAnsi="Franklin Gothic Book"/>
          <w:sz w:val="22"/>
          <w:szCs w:val="22"/>
        </w:rPr>
        <w:t xml:space="preserve">the investigation or detection of activities that would undermine the maintenance of effective immigration control </w:t>
      </w:r>
    </w:p>
    <w:p w14:paraId="69D10BB9" w14:textId="77777777" w:rsidR="00477CE4" w:rsidRPr="00FC077F" w:rsidRDefault="00080FFE" w:rsidP="00477CE4">
      <w:pPr>
        <w:pStyle w:val="NormalWeb"/>
        <w:spacing w:before="0" w:beforeAutospacing="0" w:after="240" w:afterAutospacing="0"/>
        <w:jc w:val="both"/>
        <w:rPr>
          <w:rStyle w:val="Emphasis"/>
          <w:rFonts w:ascii="Franklin Gothic Book" w:hAnsi="Franklin Gothic Book"/>
          <w:i w:val="0"/>
          <w:color w:val="000000"/>
          <w:sz w:val="22"/>
          <w:szCs w:val="22"/>
          <w:lang w:val="en-US"/>
        </w:rPr>
      </w:pPr>
      <w:r w:rsidRPr="00FC077F">
        <w:rPr>
          <w:rStyle w:val="Emphasis"/>
          <w:rFonts w:ascii="Franklin Gothic Book" w:hAnsi="Franklin Gothic Book"/>
          <w:i w:val="0"/>
          <w:color w:val="000000"/>
          <w:sz w:val="22"/>
          <w:szCs w:val="22"/>
        </w:rPr>
        <w:t xml:space="preserve">Nowhere in the </w:t>
      </w:r>
      <w:r w:rsidR="00477CE4" w:rsidRPr="00FC077F">
        <w:rPr>
          <w:rStyle w:val="Emphasis"/>
          <w:rFonts w:ascii="Franklin Gothic Book" w:hAnsi="Franklin Gothic Book"/>
          <w:i w:val="0"/>
          <w:color w:val="000000"/>
          <w:sz w:val="22"/>
          <w:szCs w:val="22"/>
          <w:lang w:val="en-US"/>
        </w:rPr>
        <w:t>DPA</w:t>
      </w:r>
      <w:r w:rsidRPr="00FC077F">
        <w:rPr>
          <w:rStyle w:val="Emphasis"/>
          <w:rFonts w:ascii="Franklin Gothic Book" w:hAnsi="Franklin Gothic Book"/>
          <w:i w:val="0"/>
          <w:color w:val="000000"/>
          <w:sz w:val="22"/>
          <w:szCs w:val="22"/>
          <w:lang w:val="en-US"/>
        </w:rPr>
        <w:t>, howev</w:t>
      </w:r>
      <w:r w:rsidR="004F2155" w:rsidRPr="00FC077F">
        <w:rPr>
          <w:rStyle w:val="Emphasis"/>
          <w:rFonts w:ascii="Franklin Gothic Book" w:hAnsi="Franklin Gothic Book"/>
          <w:i w:val="0"/>
          <w:color w:val="000000"/>
          <w:sz w:val="22"/>
          <w:szCs w:val="22"/>
          <w:lang w:val="en-US"/>
        </w:rPr>
        <w:t xml:space="preserve">er, are the terms “effective” </w:t>
      </w:r>
      <w:r w:rsidR="00295AEB" w:rsidRPr="00FC077F">
        <w:rPr>
          <w:rStyle w:val="Emphasis"/>
          <w:rFonts w:ascii="Franklin Gothic Book" w:hAnsi="Franklin Gothic Book"/>
          <w:i w:val="0"/>
          <w:color w:val="000000"/>
          <w:sz w:val="22"/>
          <w:szCs w:val="22"/>
          <w:lang w:val="en-US"/>
        </w:rPr>
        <w:t>or</w:t>
      </w:r>
      <w:r w:rsidR="00AC3E26" w:rsidRPr="00FC077F">
        <w:rPr>
          <w:rStyle w:val="Emphasis"/>
          <w:rFonts w:ascii="Franklin Gothic Book" w:hAnsi="Franklin Gothic Book"/>
          <w:i w:val="0"/>
          <w:color w:val="000000"/>
          <w:sz w:val="22"/>
          <w:szCs w:val="22"/>
          <w:lang w:val="en-US"/>
        </w:rPr>
        <w:t xml:space="preserve"> “immigration control” defined.</w:t>
      </w:r>
      <w:r w:rsidRPr="00FC077F">
        <w:rPr>
          <w:rStyle w:val="Emphasis"/>
          <w:rFonts w:ascii="Franklin Gothic Book" w:hAnsi="Franklin Gothic Book"/>
          <w:i w:val="0"/>
          <w:color w:val="000000"/>
          <w:sz w:val="22"/>
          <w:szCs w:val="22"/>
          <w:lang w:val="en-US"/>
        </w:rPr>
        <w:t xml:space="preserve"> </w:t>
      </w:r>
      <w:r w:rsidR="00AC3E26" w:rsidRPr="00FC077F">
        <w:rPr>
          <w:rStyle w:val="Emphasis"/>
          <w:rFonts w:ascii="Franklin Gothic Book" w:hAnsi="Franklin Gothic Book"/>
          <w:i w:val="0"/>
          <w:color w:val="000000"/>
          <w:sz w:val="22"/>
          <w:szCs w:val="22"/>
          <w:lang w:val="en-US"/>
        </w:rPr>
        <w:t>The</w:t>
      </w:r>
      <w:r w:rsidR="00477CE4" w:rsidRPr="00FC077F">
        <w:rPr>
          <w:rStyle w:val="Emphasis"/>
          <w:rFonts w:ascii="Franklin Gothic Book" w:hAnsi="Franklin Gothic Book"/>
          <w:i w:val="0"/>
          <w:color w:val="000000"/>
          <w:sz w:val="22"/>
          <w:szCs w:val="22"/>
          <w:lang w:val="en-US"/>
        </w:rPr>
        <w:t xml:space="preserve"> exemption is </w:t>
      </w:r>
      <w:r w:rsidR="00AC3E26" w:rsidRPr="00FC077F">
        <w:rPr>
          <w:rStyle w:val="Emphasis"/>
          <w:rFonts w:ascii="Franklin Gothic Book" w:hAnsi="Franklin Gothic Book"/>
          <w:i w:val="0"/>
          <w:color w:val="000000"/>
          <w:sz w:val="22"/>
          <w:szCs w:val="22"/>
          <w:lang w:val="en-US"/>
        </w:rPr>
        <w:t xml:space="preserve">therefore both </w:t>
      </w:r>
      <w:r w:rsidR="00477CE4" w:rsidRPr="00FC077F">
        <w:rPr>
          <w:rStyle w:val="Emphasis"/>
          <w:rFonts w:ascii="Franklin Gothic Book" w:hAnsi="Franklin Gothic Book"/>
          <w:i w:val="0"/>
          <w:color w:val="000000"/>
          <w:sz w:val="22"/>
          <w:szCs w:val="22"/>
          <w:lang w:val="en-US"/>
        </w:rPr>
        <w:t>incredibly broad in its scope</w:t>
      </w:r>
      <w:r w:rsidR="00AC3E26" w:rsidRPr="00FC077F">
        <w:rPr>
          <w:rStyle w:val="Emphasis"/>
          <w:rFonts w:ascii="Franklin Gothic Book" w:hAnsi="Franklin Gothic Book"/>
          <w:i w:val="0"/>
          <w:color w:val="000000"/>
          <w:sz w:val="22"/>
          <w:szCs w:val="22"/>
          <w:lang w:val="en-US"/>
        </w:rPr>
        <w:t xml:space="preserve"> and </w:t>
      </w:r>
      <w:r w:rsidR="00091E6C" w:rsidRPr="00FC077F">
        <w:rPr>
          <w:rStyle w:val="Emphasis"/>
          <w:rFonts w:ascii="Franklin Gothic Book" w:hAnsi="Franklin Gothic Book"/>
          <w:i w:val="0"/>
          <w:color w:val="000000"/>
          <w:sz w:val="22"/>
          <w:szCs w:val="22"/>
          <w:lang w:val="en-US"/>
        </w:rPr>
        <w:t xml:space="preserve">incredibly </w:t>
      </w:r>
      <w:r w:rsidR="00AC3E26" w:rsidRPr="00FC077F">
        <w:rPr>
          <w:rStyle w:val="Emphasis"/>
          <w:rFonts w:ascii="Franklin Gothic Book" w:hAnsi="Franklin Gothic Book"/>
          <w:i w:val="0"/>
          <w:color w:val="000000"/>
          <w:sz w:val="22"/>
          <w:szCs w:val="22"/>
          <w:lang w:val="en-US"/>
        </w:rPr>
        <w:t>vague</w:t>
      </w:r>
      <w:r w:rsidR="00477CE4" w:rsidRPr="00FC077F">
        <w:rPr>
          <w:rStyle w:val="Emphasis"/>
          <w:rFonts w:ascii="Franklin Gothic Book" w:hAnsi="Franklin Gothic Book"/>
          <w:i w:val="0"/>
          <w:color w:val="000000"/>
          <w:sz w:val="22"/>
          <w:szCs w:val="22"/>
          <w:lang w:val="en-US"/>
        </w:rPr>
        <w:t>, giving data controllers wide latitude i</w:t>
      </w:r>
      <w:r w:rsidRPr="00FC077F">
        <w:rPr>
          <w:rStyle w:val="Emphasis"/>
          <w:rFonts w:ascii="Franklin Gothic Book" w:hAnsi="Franklin Gothic Book"/>
          <w:i w:val="0"/>
          <w:color w:val="000000"/>
          <w:sz w:val="22"/>
          <w:szCs w:val="22"/>
          <w:lang w:val="en-US"/>
        </w:rPr>
        <w:t xml:space="preserve">n restricting important rights. </w:t>
      </w:r>
      <w:r w:rsidR="00781A0D" w:rsidRPr="00FC077F">
        <w:rPr>
          <w:rStyle w:val="Emphasis"/>
          <w:rFonts w:ascii="Franklin Gothic Book" w:hAnsi="Franklin Gothic Book"/>
          <w:i w:val="0"/>
          <w:color w:val="000000"/>
          <w:sz w:val="22"/>
          <w:szCs w:val="22"/>
          <w:lang w:val="en-US"/>
        </w:rPr>
        <w:t>This vagueness is</w:t>
      </w:r>
      <w:r w:rsidR="00F427DB" w:rsidRPr="00FC077F">
        <w:rPr>
          <w:rStyle w:val="Emphasis"/>
          <w:rFonts w:ascii="Franklin Gothic Book" w:hAnsi="Franklin Gothic Book"/>
          <w:i w:val="0"/>
          <w:color w:val="000000"/>
          <w:sz w:val="22"/>
          <w:szCs w:val="22"/>
          <w:lang w:val="en-US"/>
        </w:rPr>
        <w:t xml:space="preserve"> particularly problematic given the volume and complexity of immigration law in the UK. Legislative provisions underlying </w:t>
      </w:r>
      <w:r w:rsidR="00AC50AE" w:rsidRPr="00FC077F">
        <w:rPr>
          <w:rStyle w:val="Emphasis"/>
          <w:rFonts w:ascii="Franklin Gothic Book" w:hAnsi="Franklin Gothic Book"/>
          <w:i w:val="0"/>
          <w:color w:val="000000"/>
          <w:sz w:val="22"/>
          <w:szCs w:val="22"/>
          <w:lang w:val="en-US"/>
        </w:rPr>
        <w:t>immigration law are scattered throughout Acts of Parliament from 1971, 1988, 1999, 2002, 2004, 2006, 2007, 2008, 2009, 2014 and 2016, all of which contain applicable provisions, while also amending previous legislation.</w:t>
      </w:r>
      <w:r w:rsidR="00AC50AE" w:rsidRPr="00FC077F">
        <w:rPr>
          <w:rStyle w:val="FootnoteReference"/>
          <w:rFonts w:ascii="Franklin Gothic Book" w:hAnsi="Franklin Gothic Book"/>
          <w:iCs/>
          <w:color w:val="000000"/>
          <w:sz w:val="22"/>
          <w:szCs w:val="22"/>
          <w:lang w:val="en-US"/>
        </w:rPr>
        <w:footnoteReference w:id="13"/>
      </w:r>
      <w:r w:rsidR="00E66AC8" w:rsidRPr="00FC077F">
        <w:rPr>
          <w:rStyle w:val="Emphasis"/>
          <w:rFonts w:ascii="Franklin Gothic Book" w:hAnsi="Franklin Gothic Book"/>
          <w:i w:val="0"/>
          <w:color w:val="000000"/>
          <w:sz w:val="22"/>
          <w:szCs w:val="22"/>
          <w:lang w:val="en-US"/>
        </w:rPr>
        <w:t xml:space="preserve"> One</w:t>
      </w:r>
      <w:r w:rsidRPr="00FC077F">
        <w:rPr>
          <w:rStyle w:val="Emphasis"/>
          <w:rFonts w:ascii="Franklin Gothic Book" w:hAnsi="Franklin Gothic Book"/>
          <w:i w:val="0"/>
          <w:color w:val="000000"/>
          <w:sz w:val="22"/>
          <w:szCs w:val="22"/>
          <w:lang w:val="en-US"/>
        </w:rPr>
        <w:t xml:space="preserve"> UK jurist remarked in </w:t>
      </w:r>
      <w:r w:rsidRPr="00FC077F">
        <w:rPr>
          <w:rStyle w:val="Emphasis"/>
          <w:rFonts w:ascii="Franklin Gothic Book" w:hAnsi="Franklin Gothic Book"/>
          <w:color w:val="000000"/>
          <w:sz w:val="22"/>
          <w:szCs w:val="22"/>
          <w:lang w:val="en-US"/>
        </w:rPr>
        <w:t>Sapkota v. Secretary of State for the Home Department [2011] EWCA Civ 1320:</w:t>
      </w:r>
    </w:p>
    <w:p w14:paraId="13BBAA07" w14:textId="77777777" w:rsidR="00080FFE" w:rsidRPr="00FC077F" w:rsidRDefault="00080FFE" w:rsidP="00080FFE">
      <w:pPr>
        <w:pStyle w:val="NormalWeb"/>
        <w:spacing w:before="0" w:beforeAutospacing="0" w:after="240" w:afterAutospacing="0"/>
        <w:ind w:left="705"/>
        <w:jc w:val="both"/>
        <w:rPr>
          <w:rStyle w:val="Emphasis"/>
          <w:rFonts w:ascii="Franklin Gothic Book" w:hAnsi="Franklin Gothic Book"/>
          <w:i w:val="0"/>
          <w:color w:val="000000"/>
          <w:sz w:val="22"/>
          <w:szCs w:val="22"/>
          <w:lang w:val="en-US"/>
        </w:rPr>
      </w:pPr>
      <w:r w:rsidRPr="00FC077F">
        <w:rPr>
          <w:rStyle w:val="Emphasis"/>
          <w:rFonts w:ascii="Franklin Gothic Book" w:hAnsi="Franklin Gothic Book"/>
          <w:color w:val="000000"/>
          <w:sz w:val="22"/>
          <w:szCs w:val="22"/>
          <w:u w:val="single"/>
          <w:lang w:val="en-US"/>
        </w:rPr>
        <w:t>I regret that this area of immigration law has now become an impenetrable jungle of intertwined statutory decisions</w:t>
      </w:r>
      <w:r w:rsidRPr="00FC077F">
        <w:rPr>
          <w:rStyle w:val="Emphasis"/>
          <w:rFonts w:ascii="Franklin Gothic Book" w:hAnsi="Franklin Gothic Book"/>
          <w:color w:val="000000"/>
          <w:sz w:val="22"/>
          <w:szCs w:val="22"/>
          <w:lang w:val="en-US"/>
        </w:rPr>
        <w:t xml:space="preserve">, with the result that reasonable differences of opinion … are now perfectly possible. There is an acute need for </w:t>
      </w:r>
      <w:r w:rsidR="006637C7" w:rsidRPr="00FC077F">
        <w:rPr>
          <w:rStyle w:val="Emphasis"/>
          <w:rFonts w:ascii="Franklin Gothic Book" w:hAnsi="Franklin Gothic Book"/>
          <w:color w:val="000000"/>
          <w:sz w:val="22"/>
          <w:szCs w:val="22"/>
          <w:lang w:val="en-US"/>
        </w:rPr>
        <w:t>simplifi</w:t>
      </w:r>
      <w:r w:rsidRPr="00FC077F">
        <w:rPr>
          <w:rStyle w:val="Emphasis"/>
          <w:rFonts w:ascii="Franklin Gothic Book" w:hAnsi="Franklin Gothic Book"/>
          <w:color w:val="000000"/>
          <w:sz w:val="22"/>
          <w:szCs w:val="22"/>
          <w:lang w:val="en-US"/>
        </w:rPr>
        <w:t>cation so that both immigra</w:t>
      </w:r>
      <w:r w:rsidR="00295AEB" w:rsidRPr="00FC077F">
        <w:rPr>
          <w:rStyle w:val="Emphasis"/>
          <w:rFonts w:ascii="Franklin Gothic Book" w:hAnsi="Franklin Gothic Book"/>
          <w:color w:val="000000"/>
          <w:sz w:val="22"/>
          <w:szCs w:val="22"/>
          <w:lang w:val="en-US"/>
        </w:rPr>
        <w:t>nts</w:t>
      </w:r>
      <w:r w:rsidRPr="00FC077F">
        <w:rPr>
          <w:rStyle w:val="Emphasis"/>
          <w:rFonts w:ascii="Franklin Gothic Book" w:hAnsi="Franklin Gothic Book"/>
          <w:color w:val="000000"/>
          <w:sz w:val="22"/>
          <w:szCs w:val="22"/>
          <w:lang w:val="en-US"/>
        </w:rPr>
        <w:t xml:space="preserve"> and immigration officers may have a clearer understanding of their responsibilities and rights. </w:t>
      </w:r>
      <w:r w:rsidR="00E66AC8" w:rsidRPr="00FC077F">
        <w:rPr>
          <w:rStyle w:val="Emphasis"/>
          <w:rFonts w:ascii="Franklin Gothic Book" w:hAnsi="Franklin Gothic Book"/>
          <w:i w:val="0"/>
          <w:color w:val="000000"/>
          <w:sz w:val="22"/>
          <w:szCs w:val="22"/>
          <w:lang w:val="en-US"/>
        </w:rPr>
        <w:t>(emphasis added)</w:t>
      </w:r>
    </w:p>
    <w:p w14:paraId="21767EA6" w14:textId="77777777" w:rsidR="00F427DB" w:rsidRPr="00FC077F" w:rsidRDefault="00F427DB" w:rsidP="00F427DB">
      <w:pPr>
        <w:pStyle w:val="NormalWeb"/>
        <w:spacing w:before="0" w:beforeAutospacing="0" w:after="240" w:afterAutospacing="0"/>
        <w:jc w:val="both"/>
        <w:rPr>
          <w:rStyle w:val="Emphasis"/>
          <w:rFonts w:ascii="Franklin Gothic Book" w:hAnsi="Franklin Gothic Book"/>
          <w:i w:val="0"/>
          <w:color w:val="000000"/>
          <w:sz w:val="22"/>
          <w:szCs w:val="22"/>
          <w:lang w:val="en-US"/>
        </w:rPr>
      </w:pPr>
      <w:r w:rsidRPr="00FC077F">
        <w:rPr>
          <w:rStyle w:val="Emphasis"/>
          <w:rFonts w:ascii="Franklin Gothic Book" w:hAnsi="Franklin Gothic Book"/>
          <w:i w:val="0"/>
          <w:color w:val="000000"/>
          <w:sz w:val="22"/>
          <w:szCs w:val="22"/>
          <w:lang w:val="en-US"/>
        </w:rPr>
        <w:t xml:space="preserve">Another member of the judiciary has commented, in </w:t>
      </w:r>
      <w:r w:rsidRPr="00FC077F">
        <w:rPr>
          <w:rStyle w:val="Emphasis"/>
          <w:rFonts w:ascii="Franklin Gothic Book" w:hAnsi="Franklin Gothic Book"/>
          <w:color w:val="000000"/>
          <w:sz w:val="22"/>
          <w:szCs w:val="22"/>
          <w:lang w:val="en-US"/>
        </w:rPr>
        <w:t>R (on application of Iqbal) v. The Secretary of State for the Home Department [2015] EWCA Civ 838</w:t>
      </w:r>
      <w:r w:rsidRPr="00FC077F">
        <w:rPr>
          <w:rStyle w:val="Emphasis"/>
          <w:rFonts w:ascii="Franklin Gothic Book" w:hAnsi="Franklin Gothic Book"/>
          <w:i w:val="0"/>
          <w:color w:val="000000"/>
          <w:sz w:val="22"/>
          <w:szCs w:val="22"/>
          <w:lang w:val="en-US"/>
        </w:rPr>
        <w:t>:</w:t>
      </w:r>
    </w:p>
    <w:p w14:paraId="59E5714F" w14:textId="77777777" w:rsidR="00F427DB" w:rsidRPr="00FC077F" w:rsidRDefault="00F427DB" w:rsidP="00F427DB">
      <w:pPr>
        <w:pStyle w:val="NormalWeb"/>
        <w:spacing w:before="0" w:beforeAutospacing="0" w:after="240" w:afterAutospacing="0"/>
        <w:ind w:left="705"/>
        <w:jc w:val="both"/>
        <w:rPr>
          <w:rStyle w:val="Emphasis"/>
          <w:rFonts w:ascii="Franklin Gothic Book" w:hAnsi="Franklin Gothic Book"/>
          <w:i w:val="0"/>
          <w:sz w:val="22"/>
          <w:szCs w:val="22"/>
        </w:rPr>
      </w:pPr>
      <w:r w:rsidRPr="00FC077F">
        <w:rPr>
          <w:rStyle w:val="Emphasis"/>
          <w:rFonts w:ascii="Franklin Gothic Book" w:hAnsi="Franklin Gothic Book"/>
          <w:color w:val="000000"/>
          <w:sz w:val="22"/>
          <w:szCs w:val="22"/>
          <w:u w:val="single"/>
          <w:lang w:val="en-US"/>
        </w:rPr>
        <w:t>I cannot, however, leave this judgment without observing how abstruse the law has become in this area</w:t>
      </w:r>
      <w:r w:rsidRPr="00FC077F">
        <w:rPr>
          <w:rStyle w:val="Emphasis"/>
          <w:rFonts w:ascii="Franklin Gothic Book" w:hAnsi="Franklin Gothic Book"/>
          <w:color w:val="000000"/>
          <w:sz w:val="22"/>
          <w:szCs w:val="22"/>
          <w:lang w:val="en-US"/>
        </w:rPr>
        <w:t xml:space="preserve">. That is always a weakness but particularly when so many immigrants are litigants in person with precious little, if any, understanding of English law. </w:t>
      </w:r>
      <w:r w:rsidRPr="00FC077F">
        <w:rPr>
          <w:rStyle w:val="Emphasis"/>
          <w:rFonts w:ascii="Franklin Gothic Book" w:hAnsi="Franklin Gothic Book"/>
          <w:color w:val="000000"/>
          <w:sz w:val="22"/>
          <w:szCs w:val="22"/>
          <w:u w:val="single"/>
          <w:lang w:val="en-US"/>
        </w:rPr>
        <w:t>It is telling that in this case the Secretary of State had changed her view as to the proper interpretation of section 3c, an important provision which affects the legal rights of immigrants in numerous ways</w:t>
      </w:r>
      <w:r w:rsidRPr="00FC077F">
        <w:rPr>
          <w:rStyle w:val="Emphasis"/>
          <w:rFonts w:ascii="Franklin Gothic Book" w:hAnsi="Franklin Gothic Book"/>
          <w:color w:val="000000"/>
          <w:sz w:val="22"/>
          <w:szCs w:val="22"/>
          <w:lang w:val="en-US"/>
        </w:rPr>
        <w:t xml:space="preserve">. </w:t>
      </w:r>
      <w:proofErr w:type="gramStart"/>
      <w:r w:rsidRPr="00FC077F">
        <w:rPr>
          <w:rStyle w:val="Emphasis"/>
          <w:rFonts w:ascii="Franklin Gothic Book" w:hAnsi="Franklin Gothic Book"/>
          <w:color w:val="000000"/>
          <w:sz w:val="22"/>
          <w:szCs w:val="22"/>
          <w:u w:val="single"/>
          <w:lang w:val="en-US"/>
        </w:rPr>
        <w:t>Also</w:t>
      </w:r>
      <w:proofErr w:type="gramEnd"/>
      <w:r w:rsidRPr="00FC077F">
        <w:rPr>
          <w:rStyle w:val="Emphasis"/>
          <w:rFonts w:ascii="Franklin Gothic Book" w:hAnsi="Franklin Gothic Book"/>
          <w:color w:val="000000"/>
          <w:sz w:val="22"/>
          <w:szCs w:val="22"/>
          <w:u w:val="single"/>
          <w:lang w:val="en-US"/>
        </w:rPr>
        <w:t xml:space="preserve"> it is difficult to identify precisely which laws were in force at any particular time</w:t>
      </w:r>
      <w:r w:rsidRPr="00FC077F">
        <w:rPr>
          <w:rStyle w:val="Emphasis"/>
          <w:rFonts w:ascii="Franklin Gothic Book" w:hAnsi="Franklin Gothic Book"/>
          <w:color w:val="000000"/>
          <w:sz w:val="22"/>
          <w:szCs w:val="22"/>
          <w:lang w:val="en-US"/>
        </w:rPr>
        <w:t xml:space="preserve"> …. The overriding impression is that the rules are changed in a piecemeal way to deal with </w:t>
      </w:r>
      <w:proofErr w:type="gramStart"/>
      <w:r w:rsidRPr="00FC077F">
        <w:rPr>
          <w:rStyle w:val="Emphasis"/>
          <w:rFonts w:ascii="Franklin Gothic Book" w:hAnsi="Franklin Gothic Book"/>
          <w:color w:val="000000"/>
          <w:sz w:val="22"/>
          <w:szCs w:val="22"/>
          <w:lang w:val="en-US"/>
        </w:rPr>
        <w:t>particular problems</w:t>
      </w:r>
      <w:proofErr w:type="gramEnd"/>
      <w:r w:rsidRPr="00FC077F">
        <w:rPr>
          <w:rStyle w:val="Emphasis"/>
          <w:rFonts w:ascii="Franklin Gothic Book" w:hAnsi="Franklin Gothic Book"/>
          <w:color w:val="000000"/>
          <w:sz w:val="22"/>
          <w:szCs w:val="22"/>
          <w:lang w:val="en-US"/>
        </w:rPr>
        <w:t xml:space="preserve"> when they arise. But </w:t>
      </w:r>
      <w:r w:rsidRPr="00FC077F">
        <w:rPr>
          <w:rStyle w:val="Emphasis"/>
          <w:rFonts w:ascii="Franklin Gothic Book" w:hAnsi="Franklin Gothic Book"/>
          <w:color w:val="000000"/>
          <w:sz w:val="22"/>
          <w:szCs w:val="22"/>
          <w:u w:val="single"/>
          <w:lang w:val="en-US"/>
        </w:rPr>
        <w:t xml:space="preserve">firefighting is not the way to produce a rational or consistent set of rules; and the process does not sit easily with the rule of law, and </w:t>
      </w:r>
      <w:proofErr w:type="gramStart"/>
      <w:r w:rsidRPr="00FC077F">
        <w:rPr>
          <w:rStyle w:val="Emphasis"/>
          <w:rFonts w:ascii="Franklin Gothic Book" w:hAnsi="Franklin Gothic Book"/>
          <w:color w:val="000000"/>
          <w:sz w:val="22"/>
          <w:szCs w:val="22"/>
          <w:u w:val="single"/>
          <w:lang w:val="en-US"/>
        </w:rPr>
        <w:t>in particular the</w:t>
      </w:r>
      <w:proofErr w:type="gramEnd"/>
      <w:r w:rsidRPr="00FC077F">
        <w:rPr>
          <w:rStyle w:val="Emphasis"/>
          <w:rFonts w:ascii="Franklin Gothic Book" w:hAnsi="Franklin Gothic Book"/>
          <w:color w:val="000000"/>
          <w:sz w:val="22"/>
          <w:szCs w:val="22"/>
          <w:u w:val="single"/>
          <w:lang w:val="en-US"/>
        </w:rPr>
        <w:t xml:space="preserve"> principle that litigants should be able to discover the laws applicable to their circumstances</w:t>
      </w:r>
      <w:r w:rsidRPr="00FC077F">
        <w:rPr>
          <w:rStyle w:val="Emphasis"/>
          <w:rFonts w:ascii="Franklin Gothic Book" w:hAnsi="Franklin Gothic Book"/>
          <w:color w:val="000000"/>
          <w:sz w:val="22"/>
          <w:szCs w:val="22"/>
          <w:lang w:val="en-US"/>
        </w:rPr>
        <w:t xml:space="preserve">. </w:t>
      </w:r>
      <w:r w:rsidR="00E66AC8" w:rsidRPr="00FC077F">
        <w:rPr>
          <w:rStyle w:val="Emphasis"/>
          <w:rFonts w:ascii="Franklin Gothic Book" w:hAnsi="Franklin Gothic Book"/>
          <w:i w:val="0"/>
          <w:color w:val="000000"/>
          <w:sz w:val="22"/>
          <w:szCs w:val="22"/>
          <w:lang w:val="en-US"/>
        </w:rPr>
        <w:t>(emphasis added)</w:t>
      </w:r>
    </w:p>
    <w:p w14:paraId="5238B6B8" w14:textId="77777777" w:rsidR="00AC3E26" w:rsidRPr="00FC077F" w:rsidRDefault="00477CE4" w:rsidP="00477CE4">
      <w:pPr>
        <w:pStyle w:val="NormalWeb"/>
        <w:spacing w:before="0" w:beforeAutospacing="0" w:after="240" w:afterAutospacing="0"/>
        <w:jc w:val="both"/>
        <w:rPr>
          <w:rStyle w:val="Emphasis"/>
          <w:rFonts w:ascii="Franklin Gothic Book" w:hAnsi="Franklin Gothic Book"/>
          <w:i w:val="0"/>
          <w:color w:val="000000"/>
          <w:sz w:val="22"/>
          <w:szCs w:val="22"/>
          <w:lang w:val="en-US"/>
        </w:rPr>
      </w:pPr>
      <w:r w:rsidRPr="00FC077F">
        <w:rPr>
          <w:rStyle w:val="Emphasis"/>
          <w:rFonts w:ascii="Franklin Gothic Book" w:hAnsi="Franklin Gothic Book"/>
          <w:i w:val="0"/>
          <w:color w:val="000000"/>
          <w:sz w:val="22"/>
          <w:szCs w:val="22"/>
          <w:lang w:val="en-US"/>
        </w:rPr>
        <w:t xml:space="preserve">Nor is the exemption tailored to apply to a specific category of persons. </w:t>
      </w:r>
      <w:r w:rsidR="00AC3E26" w:rsidRPr="00FC077F">
        <w:rPr>
          <w:rStyle w:val="Emphasis"/>
          <w:rFonts w:ascii="Franklin Gothic Book" w:hAnsi="Franklin Gothic Book"/>
          <w:i w:val="0"/>
          <w:color w:val="000000"/>
          <w:sz w:val="22"/>
          <w:szCs w:val="22"/>
          <w:lang w:val="en-US"/>
        </w:rPr>
        <w:t>Immigration offences can be committed by both British citizens (e.g., for assisting irregular entry, employing migrants without a work permit, etc.) as well as non-citizens.</w:t>
      </w:r>
      <w:r w:rsidR="00AC3E26" w:rsidRPr="00FC077F">
        <w:rPr>
          <w:rStyle w:val="FootnoteReference"/>
          <w:rFonts w:ascii="Franklin Gothic Book" w:hAnsi="Franklin Gothic Book"/>
          <w:iCs/>
          <w:color w:val="000000"/>
          <w:sz w:val="22"/>
          <w:szCs w:val="22"/>
          <w:lang w:val="en-US"/>
        </w:rPr>
        <w:footnoteReference w:id="14"/>
      </w:r>
      <w:r w:rsidR="00AC3E26" w:rsidRPr="00FC077F">
        <w:rPr>
          <w:rStyle w:val="Emphasis"/>
          <w:rFonts w:ascii="Franklin Gothic Book" w:hAnsi="Franklin Gothic Book"/>
          <w:i w:val="0"/>
          <w:color w:val="000000"/>
          <w:sz w:val="22"/>
          <w:szCs w:val="22"/>
          <w:lang w:val="en-US"/>
        </w:rPr>
        <w:t xml:space="preserve"> Moreover, as immigration status is a requirement for accessing </w:t>
      </w:r>
      <w:proofErr w:type="gramStart"/>
      <w:r w:rsidR="00AC3E26" w:rsidRPr="00FC077F">
        <w:rPr>
          <w:rStyle w:val="Emphasis"/>
          <w:rFonts w:ascii="Franklin Gothic Book" w:hAnsi="Franklin Gothic Book"/>
          <w:i w:val="0"/>
          <w:color w:val="000000"/>
          <w:sz w:val="22"/>
          <w:szCs w:val="22"/>
          <w:lang w:val="en-US"/>
        </w:rPr>
        <w:t>a number of</w:t>
      </w:r>
      <w:proofErr w:type="gramEnd"/>
      <w:r w:rsidR="00AC3E26" w:rsidRPr="00FC077F">
        <w:rPr>
          <w:rStyle w:val="Emphasis"/>
          <w:rFonts w:ascii="Franklin Gothic Book" w:hAnsi="Franklin Gothic Book"/>
          <w:i w:val="0"/>
          <w:color w:val="000000"/>
          <w:sz w:val="22"/>
          <w:szCs w:val="22"/>
          <w:lang w:val="en-US"/>
        </w:rPr>
        <w:t xml:space="preserve"> services, the government could make it mandatory to screen all users of these services to determine their eligibility. Such a scheme is not implausible, given the existence </w:t>
      </w:r>
      <w:r w:rsidR="00AC3E26" w:rsidRPr="00FC077F">
        <w:rPr>
          <w:rStyle w:val="Emphasis"/>
          <w:rFonts w:ascii="Franklin Gothic Book" w:hAnsi="Franklin Gothic Book"/>
          <w:i w:val="0"/>
          <w:color w:val="000000"/>
          <w:sz w:val="22"/>
          <w:szCs w:val="22"/>
          <w:lang w:val="en-US"/>
        </w:rPr>
        <w:lastRenderedPageBreak/>
        <w:t>of multiple data sharing arrangements between the Home Office and various other government services:</w:t>
      </w:r>
    </w:p>
    <w:p w14:paraId="64C69492" w14:textId="0BEC311E" w:rsidR="00AC3E26" w:rsidRPr="00FC077F" w:rsidRDefault="00AC3E26" w:rsidP="00AC3E26">
      <w:pPr>
        <w:pStyle w:val="ListParagraph"/>
        <w:numPr>
          <w:ilvl w:val="0"/>
          <w:numId w:val="23"/>
        </w:numPr>
        <w:jc w:val="both"/>
        <w:rPr>
          <w:rFonts w:ascii="Franklin Gothic Book" w:hAnsi="Franklin Gothic Book" w:cs="Times New Roman"/>
        </w:rPr>
      </w:pPr>
      <w:r w:rsidRPr="00FC077F">
        <w:rPr>
          <w:rFonts w:ascii="Franklin Gothic Book" w:hAnsi="Franklin Gothic Book" w:cs="Times New Roman"/>
        </w:rPr>
        <w:t>Home Office, the Department of Health and Social Care and National Health Service (NHS) Digital with respect to patient records (withdrawn November 2018);</w:t>
      </w:r>
    </w:p>
    <w:p w14:paraId="313E9C2D" w14:textId="77777777" w:rsidR="00AC3E26" w:rsidRPr="00FC077F" w:rsidRDefault="00AC3E26" w:rsidP="00AC3E26">
      <w:pPr>
        <w:pStyle w:val="ListParagraph"/>
        <w:numPr>
          <w:ilvl w:val="0"/>
          <w:numId w:val="23"/>
        </w:numPr>
        <w:jc w:val="both"/>
        <w:rPr>
          <w:rFonts w:ascii="Franklin Gothic Book" w:hAnsi="Franklin Gothic Book" w:cs="Times New Roman"/>
        </w:rPr>
      </w:pPr>
      <w:r w:rsidRPr="00FC077F">
        <w:rPr>
          <w:rFonts w:ascii="Franklin Gothic Book" w:hAnsi="Franklin Gothic Book" w:cs="Times New Roman"/>
        </w:rPr>
        <w:t>Home Office and the Department of Education with respect to children’s school records;</w:t>
      </w:r>
    </w:p>
    <w:p w14:paraId="49FA3CD8" w14:textId="77777777" w:rsidR="00AC3E26" w:rsidRPr="00FC077F" w:rsidRDefault="00AC3E26" w:rsidP="00AC3E26">
      <w:pPr>
        <w:pStyle w:val="ListParagraph"/>
        <w:numPr>
          <w:ilvl w:val="0"/>
          <w:numId w:val="23"/>
        </w:numPr>
        <w:jc w:val="both"/>
        <w:rPr>
          <w:rFonts w:ascii="Franklin Gothic Book" w:hAnsi="Franklin Gothic Book" w:cs="Times New Roman"/>
        </w:rPr>
      </w:pPr>
      <w:r w:rsidRPr="00FC077F">
        <w:rPr>
          <w:rFonts w:ascii="Franklin Gothic Book" w:hAnsi="Franklin Gothic Book" w:cs="Times New Roman"/>
        </w:rPr>
        <w:t xml:space="preserve">Home Office and </w:t>
      </w:r>
      <w:proofErr w:type="spellStart"/>
      <w:r w:rsidRPr="00FC077F">
        <w:rPr>
          <w:rFonts w:ascii="Franklin Gothic Book" w:hAnsi="Franklin Gothic Book" w:cs="Times New Roman"/>
        </w:rPr>
        <w:t>Cifas</w:t>
      </w:r>
      <w:proofErr w:type="spellEnd"/>
      <w:r w:rsidRPr="00FC077F">
        <w:rPr>
          <w:rFonts w:ascii="Franklin Gothic Book" w:hAnsi="Franklin Gothic Book" w:cs="Times New Roman"/>
        </w:rPr>
        <w:t xml:space="preserve"> (anti-fraud agency) with respect to bank accounts;</w:t>
      </w:r>
    </w:p>
    <w:p w14:paraId="1FFD03C9" w14:textId="77777777" w:rsidR="00AC3E26" w:rsidRPr="00FC077F" w:rsidRDefault="00AC3E26" w:rsidP="00AC3E26">
      <w:pPr>
        <w:pStyle w:val="ListParagraph"/>
        <w:numPr>
          <w:ilvl w:val="0"/>
          <w:numId w:val="23"/>
        </w:numPr>
        <w:jc w:val="both"/>
        <w:rPr>
          <w:rFonts w:ascii="Franklin Gothic Book" w:hAnsi="Franklin Gothic Book" w:cs="Times New Roman"/>
        </w:rPr>
      </w:pPr>
      <w:r w:rsidRPr="00FC077F">
        <w:rPr>
          <w:rFonts w:ascii="Franklin Gothic Book" w:hAnsi="Franklin Gothic Book" w:cs="Times New Roman"/>
        </w:rPr>
        <w:t>Home Office and Driver and Vehicle Licensing Agency with respect to driving licenses;</w:t>
      </w:r>
    </w:p>
    <w:p w14:paraId="4886FD47" w14:textId="77777777" w:rsidR="00AC3E26" w:rsidRPr="00FC077F" w:rsidRDefault="00AC3E26" w:rsidP="00AC3E26">
      <w:pPr>
        <w:pStyle w:val="ListParagraph"/>
        <w:numPr>
          <w:ilvl w:val="0"/>
          <w:numId w:val="23"/>
        </w:numPr>
        <w:jc w:val="both"/>
        <w:rPr>
          <w:rStyle w:val="Emphasis"/>
          <w:rFonts w:ascii="Franklin Gothic Book" w:hAnsi="Franklin Gothic Book" w:cs="Times New Roman"/>
          <w:i w:val="0"/>
          <w:iCs w:val="0"/>
        </w:rPr>
      </w:pPr>
      <w:r w:rsidRPr="00FC077F">
        <w:rPr>
          <w:rFonts w:ascii="Franklin Gothic Book" w:hAnsi="Franklin Gothic Book" w:cs="Times New Roman"/>
        </w:rPr>
        <w:t>Home Office, the Department for Work and Pensions, with respect to employment records and welfare benefits, including child maintenance.</w:t>
      </w:r>
      <w:r w:rsidR="00E073EB" w:rsidRPr="00FC077F">
        <w:rPr>
          <w:rStyle w:val="FootnoteReference"/>
          <w:rFonts w:ascii="Franklin Gothic Book" w:hAnsi="Franklin Gothic Book" w:cs="Times New Roman"/>
        </w:rPr>
        <w:footnoteReference w:id="15"/>
      </w:r>
    </w:p>
    <w:p w14:paraId="7DAF5CAA" w14:textId="77777777" w:rsidR="001134CD" w:rsidRPr="00FC077F" w:rsidRDefault="001134CD" w:rsidP="001134CD">
      <w:pPr>
        <w:pStyle w:val="NormalWeb"/>
        <w:spacing w:before="0" w:beforeAutospacing="0" w:after="240" w:afterAutospacing="0"/>
        <w:jc w:val="both"/>
        <w:rPr>
          <w:rFonts w:ascii="Franklin Gothic Book" w:hAnsi="Franklin Gothic Book"/>
          <w:iCs/>
          <w:color w:val="000000"/>
          <w:sz w:val="22"/>
          <w:szCs w:val="22"/>
          <w:lang w:val="en-US"/>
        </w:rPr>
      </w:pPr>
      <w:r w:rsidRPr="00FC077F">
        <w:rPr>
          <w:rFonts w:ascii="Franklin Gothic Book" w:hAnsi="Franklin Gothic Book"/>
          <w:iCs/>
          <w:color w:val="000000"/>
          <w:sz w:val="22"/>
          <w:szCs w:val="22"/>
          <w:lang w:val="en-US"/>
        </w:rPr>
        <w:t xml:space="preserve">Nor is the exemption limited to the Home Office or other public authorities. It applies to any entity from whom the Home Office obtains data for immigration control purposes, which could include data brokers, corporate entities, service providers, </w:t>
      </w:r>
      <w:r w:rsidR="00295AEB" w:rsidRPr="00FC077F">
        <w:rPr>
          <w:rFonts w:ascii="Franklin Gothic Book" w:hAnsi="Franklin Gothic Book"/>
          <w:iCs/>
          <w:color w:val="000000"/>
          <w:sz w:val="22"/>
          <w:szCs w:val="22"/>
          <w:lang w:val="en-US"/>
        </w:rPr>
        <w:t>and</w:t>
      </w:r>
      <w:r w:rsidRPr="00FC077F">
        <w:rPr>
          <w:rFonts w:ascii="Franklin Gothic Book" w:hAnsi="Franklin Gothic Book"/>
          <w:iCs/>
          <w:color w:val="000000"/>
          <w:sz w:val="22"/>
          <w:szCs w:val="22"/>
          <w:lang w:val="en-US"/>
        </w:rPr>
        <w:t xml:space="preserve"> non-governmental organization</w:t>
      </w:r>
      <w:r w:rsidR="00295AEB" w:rsidRPr="00FC077F">
        <w:rPr>
          <w:rFonts w:ascii="Franklin Gothic Book" w:hAnsi="Franklin Gothic Book"/>
          <w:iCs/>
          <w:color w:val="000000"/>
          <w:sz w:val="22"/>
          <w:szCs w:val="22"/>
          <w:lang w:val="en-US"/>
        </w:rPr>
        <w:t>s</w:t>
      </w:r>
      <w:r w:rsidRPr="00FC077F">
        <w:rPr>
          <w:rFonts w:ascii="Franklin Gothic Book" w:hAnsi="Franklin Gothic Book"/>
          <w:iCs/>
          <w:color w:val="000000"/>
          <w:sz w:val="22"/>
          <w:szCs w:val="22"/>
          <w:lang w:val="en-US"/>
        </w:rPr>
        <w:t xml:space="preserve">.  </w:t>
      </w:r>
    </w:p>
    <w:p w14:paraId="4B82D7B9" w14:textId="7F24F508" w:rsidR="001134CD" w:rsidRPr="00FC077F" w:rsidRDefault="00477CE4" w:rsidP="00477CE4">
      <w:pPr>
        <w:pStyle w:val="NormalWeb"/>
        <w:spacing w:before="0" w:beforeAutospacing="0" w:after="240" w:afterAutospacing="0"/>
        <w:jc w:val="both"/>
        <w:rPr>
          <w:rStyle w:val="Emphasis"/>
          <w:rFonts w:ascii="Franklin Gothic Book" w:hAnsi="Franklin Gothic Book"/>
          <w:i w:val="0"/>
          <w:color w:val="000000"/>
          <w:sz w:val="22"/>
          <w:szCs w:val="22"/>
          <w:lang w:val="en-US"/>
        </w:rPr>
      </w:pPr>
      <w:r w:rsidRPr="00FC077F">
        <w:rPr>
          <w:rStyle w:val="Emphasis"/>
          <w:rFonts w:ascii="Franklin Gothic Book" w:hAnsi="Franklin Gothic Book"/>
          <w:i w:val="0"/>
          <w:color w:val="000000"/>
          <w:sz w:val="22"/>
          <w:szCs w:val="22"/>
          <w:lang w:val="en-US"/>
        </w:rPr>
        <w:t xml:space="preserve">The sweeping application of the exemption is particularly alarming because, in many circumstances, individuals will not know that their rights have been </w:t>
      </w:r>
      <w:r w:rsidR="001134CD" w:rsidRPr="00FC077F">
        <w:rPr>
          <w:rStyle w:val="Emphasis"/>
          <w:rFonts w:ascii="Franklin Gothic Book" w:hAnsi="Franklin Gothic Book"/>
          <w:i w:val="0"/>
          <w:color w:val="000000"/>
          <w:sz w:val="22"/>
          <w:szCs w:val="22"/>
          <w:lang w:val="en-US"/>
        </w:rPr>
        <w:t>limited</w:t>
      </w:r>
      <w:r w:rsidRPr="00FC077F">
        <w:rPr>
          <w:rStyle w:val="Emphasis"/>
          <w:rFonts w:ascii="Franklin Gothic Book" w:hAnsi="Franklin Gothic Book"/>
          <w:i w:val="0"/>
          <w:color w:val="000000"/>
          <w:sz w:val="22"/>
          <w:szCs w:val="22"/>
          <w:lang w:val="en-US"/>
        </w:rPr>
        <w:t xml:space="preserve"> under the exemption. </w:t>
      </w:r>
      <w:r w:rsidR="001134CD" w:rsidRPr="00FC077F">
        <w:rPr>
          <w:rStyle w:val="Emphasis"/>
          <w:rFonts w:ascii="Franklin Gothic Book" w:hAnsi="Franklin Gothic Book"/>
          <w:i w:val="0"/>
          <w:color w:val="000000"/>
          <w:sz w:val="22"/>
          <w:szCs w:val="22"/>
          <w:lang w:val="en-US"/>
        </w:rPr>
        <w:t xml:space="preserve">Because </w:t>
      </w:r>
      <w:r w:rsidRPr="00FC077F">
        <w:rPr>
          <w:rStyle w:val="Emphasis"/>
          <w:rFonts w:ascii="Franklin Gothic Book" w:hAnsi="Franklin Gothic Book"/>
          <w:i w:val="0"/>
          <w:color w:val="000000"/>
          <w:sz w:val="22"/>
          <w:szCs w:val="22"/>
          <w:lang w:val="en-US"/>
        </w:rPr>
        <w:t>they are unaware that their personal data has been processed under the exemption, it will be impossibl</w:t>
      </w:r>
      <w:r w:rsidR="00E61ED1" w:rsidRPr="00FC077F">
        <w:rPr>
          <w:rStyle w:val="Emphasis"/>
          <w:rFonts w:ascii="Franklin Gothic Book" w:hAnsi="Franklin Gothic Book"/>
          <w:i w:val="0"/>
          <w:color w:val="000000"/>
          <w:sz w:val="22"/>
          <w:szCs w:val="22"/>
          <w:lang w:val="en-US"/>
        </w:rPr>
        <w:t>e for them to challenge</w:t>
      </w:r>
      <w:r w:rsidRPr="00FC077F">
        <w:rPr>
          <w:rStyle w:val="Emphasis"/>
          <w:rFonts w:ascii="Franklin Gothic Book" w:hAnsi="Franklin Gothic Book"/>
          <w:i w:val="0"/>
          <w:color w:val="000000"/>
          <w:sz w:val="22"/>
          <w:szCs w:val="22"/>
          <w:lang w:val="en-US"/>
        </w:rPr>
        <w:t xml:space="preserve"> the processing </w:t>
      </w:r>
      <w:r w:rsidR="00295AEB" w:rsidRPr="00FC077F">
        <w:rPr>
          <w:rStyle w:val="Emphasis"/>
          <w:rFonts w:ascii="Franklin Gothic Book" w:hAnsi="Franklin Gothic Book"/>
          <w:i w:val="0"/>
          <w:color w:val="000000"/>
          <w:sz w:val="22"/>
          <w:szCs w:val="22"/>
          <w:lang w:val="en-US"/>
        </w:rPr>
        <w:t xml:space="preserve">of </w:t>
      </w:r>
      <w:r w:rsidRPr="00FC077F">
        <w:rPr>
          <w:rStyle w:val="Emphasis"/>
          <w:rFonts w:ascii="Franklin Gothic Book" w:hAnsi="Franklin Gothic Book"/>
          <w:i w:val="0"/>
          <w:color w:val="000000"/>
          <w:sz w:val="22"/>
          <w:szCs w:val="22"/>
          <w:lang w:val="en-US"/>
        </w:rPr>
        <w:t>their data, to the Info</w:t>
      </w:r>
      <w:r w:rsidR="001134CD" w:rsidRPr="00FC077F">
        <w:rPr>
          <w:rStyle w:val="Emphasis"/>
          <w:rFonts w:ascii="Franklin Gothic Book" w:hAnsi="Franklin Gothic Book"/>
          <w:i w:val="0"/>
          <w:color w:val="000000"/>
          <w:sz w:val="22"/>
          <w:szCs w:val="22"/>
          <w:lang w:val="en-US"/>
        </w:rPr>
        <w:t>rmation Commissioner’s Office. The absence of notice also means that data subjects will have extremely</w:t>
      </w:r>
      <w:r w:rsidRPr="00FC077F">
        <w:rPr>
          <w:rStyle w:val="Emphasis"/>
          <w:rFonts w:ascii="Franklin Gothic Book" w:hAnsi="Franklin Gothic Book"/>
          <w:i w:val="0"/>
          <w:color w:val="000000"/>
          <w:sz w:val="22"/>
          <w:szCs w:val="22"/>
          <w:lang w:val="en-US"/>
        </w:rPr>
        <w:t xml:space="preserve"> limited opportunity to correct errors in that data and how it is processed. </w:t>
      </w:r>
      <w:r w:rsidR="001134CD" w:rsidRPr="00FC077F">
        <w:rPr>
          <w:rStyle w:val="Emphasis"/>
          <w:rFonts w:ascii="Franklin Gothic Book" w:hAnsi="Franklin Gothic Book"/>
          <w:i w:val="0"/>
          <w:color w:val="000000"/>
          <w:sz w:val="22"/>
          <w:szCs w:val="22"/>
          <w:lang w:val="en-US"/>
        </w:rPr>
        <w:t xml:space="preserve">This is against the backdrop of a history of missteps by the Home Office, based on errors: </w:t>
      </w:r>
    </w:p>
    <w:p w14:paraId="759AB8AF" w14:textId="77777777" w:rsidR="001134CD" w:rsidRPr="00FC077F" w:rsidRDefault="001134CD" w:rsidP="001134CD">
      <w:pPr>
        <w:pStyle w:val="NormalWeb"/>
        <w:numPr>
          <w:ilvl w:val="0"/>
          <w:numId w:val="23"/>
        </w:numPr>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i w:val="0"/>
          <w:color w:val="000000"/>
          <w:sz w:val="22"/>
          <w:szCs w:val="22"/>
          <w:lang w:val="en-US"/>
        </w:rPr>
        <w:t xml:space="preserve">Several cases have been reported in the press of people being deported </w:t>
      </w:r>
      <w:r w:rsidR="00250904" w:rsidRPr="00FC077F">
        <w:rPr>
          <w:rStyle w:val="Emphasis"/>
          <w:rFonts w:ascii="Franklin Gothic Book" w:hAnsi="Franklin Gothic Book"/>
          <w:i w:val="0"/>
          <w:color w:val="000000"/>
          <w:sz w:val="22"/>
          <w:szCs w:val="22"/>
          <w:lang w:val="en-US"/>
        </w:rPr>
        <w:t>because of</w:t>
      </w:r>
      <w:r w:rsidRPr="00FC077F">
        <w:rPr>
          <w:rStyle w:val="Emphasis"/>
          <w:rFonts w:ascii="Franklin Gothic Book" w:hAnsi="Franklin Gothic Book"/>
          <w:i w:val="0"/>
          <w:color w:val="000000"/>
          <w:sz w:val="22"/>
          <w:szCs w:val="22"/>
          <w:lang w:val="en-US"/>
        </w:rPr>
        <w:t xml:space="preserve"> errors in their immigration files.</w:t>
      </w:r>
      <w:r w:rsidRPr="00FC077F">
        <w:rPr>
          <w:rStyle w:val="FootnoteReference"/>
          <w:rFonts w:ascii="Franklin Gothic Book" w:hAnsi="Franklin Gothic Book"/>
          <w:iCs/>
          <w:color w:val="000000"/>
          <w:sz w:val="22"/>
          <w:szCs w:val="22"/>
          <w:lang w:val="en-US"/>
        </w:rPr>
        <w:footnoteReference w:id="16"/>
      </w:r>
      <w:r w:rsidRPr="00FC077F">
        <w:rPr>
          <w:rStyle w:val="Emphasis"/>
          <w:rFonts w:ascii="Franklin Gothic Book" w:hAnsi="Franklin Gothic Book"/>
          <w:i w:val="0"/>
          <w:color w:val="000000"/>
          <w:sz w:val="22"/>
          <w:szCs w:val="22"/>
          <w:lang w:val="en-US"/>
        </w:rPr>
        <w:t xml:space="preserve"> </w:t>
      </w:r>
    </w:p>
    <w:p w14:paraId="4BAC01AB" w14:textId="77777777" w:rsidR="001134CD" w:rsidRPr="00FC077F" w:rsidRDefault="00E61ED1" w:rsidP="001134CD">
      <w:pPr>
        <w:pStyle w:val="NormalWeb"/>
        <w:numPr>
          <w:ilvl w:val="0"/>
          <w:numId w:val="23"/>
        </w:numPr>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i w:val="0"/>
          <w:color w:val="000000"/>
          <w:sz w:val="22"/>
          <w:szCs w:val="22"/>
          <w:lang w:val="en-US"/>
        </w:rPr>
        <w:t>I</w:t>
      </w:r>
      <w:r w:rsidR="00477CE4" w:rsidRPr="00FC077F">
        <w:rPr>
          <w:rStyle w:val="Emphasis"/>
          <w:rFonts w:ascii="Franklin Gothic Book" w:hAnsi="Franklin Gothic Book"/>
          <w:i w:val="0"/>
          <w:color w:val="000000"/>
          <w:sz w:val="22"/>
          <w:szCs w:val="22"/>
          <w:lang w:val="en-US"/>
        </w:rPr>
        <w:t>t has been reported that up to ten percent of sampled refusals of bank accounts to individuals on immigration grounds were made in error, due to poor data quality.</w:t>
      </w:r>
      <w:r w:rsidR="00477CE4" w:rsidRPr="00FC077F">
        <w:rPr>
          <w:rStyle w:val="FootnoteReference"/>
          <w:rFonts w:ascii="Franklin Gothic Book" w:hAnsi="Franklin Gothic Book"/>
          <w:iCs/>
          <w:color w:val="000000"/>
          <w:sz w:val="22"/>
          <w:szCs w:val="22"/>
          <w:lang w:val="en-US"/>
        </w:rPr>
        <w:footnoteReference w:id="17"/>
      </w:r>
      <w:r w:rsidR="00477CE4" w:rsidRPr="00FC077F">
        <w:rPr>
          <w:rStyle w:val="Emphasis"/>
          <w:rFonts w:ascii="Franklin Gothic Book" w:hAnsi="Franklin Gothic Book"/>
          <w:i w:val="0"/>
          <w:color w:val="000000"/>
          <w:sz w:val="22"/>
          <w:szCs w:val="22"/>
          <w:lang w:val="en-US"/>
        </w:rPr>
        <w:t xml:space="preserve"> </w:t>
      </w:r>
    </w:p>
    <w:p w14:paraId="20C8CCC6" w14:textId="77777777" w:rsidR="00ED182D" w:rsidRPr="00FC077F" w:rsidRDefault="001134CD" w:rsidP="00091E6C">
      <w:pPr>
        <w:pStyle w:val="NormalWeb"/>
        <w:spacing w:before="0" w:beforeAutospacing="0" w:after="240" w:afterAutospacing="0"/>
        <w:jc w:val="both"/>
        <w:rPr>
          <w:rFonts w:ascii="Franklin Gothic Book" w:hAnsi="Franklin Gothic Book"/>
          <w:i/>
          <w:iCs/>
          <w:sz w:val="22"/>
          <w:szCs w:val="22"/>
        </w:rPr>
      </w:pPr>
      <w:r w:rsidRPr="00FC077F">
        <w:rPr>
          <w:rStyle w:val="Emphasis"/>
          <w:rFonts w:ascii="Franklin Gothic Book" w:hAnsi="Franklin Gothic Book"/>
          <w:i w:val="0"/>
          <w:color w:val="000000"/>
          <w:sz w:val="22"/>
          <w:szCs w:val="22"/>
          <w:lang w:val="en-US"/>
        </w:rPr>
        <w:t>The vagueness of the “immigration control exemption”, and the breadth o</w:t>
      </w:r>
      <w:r w:rsidR="00091E6C" w:rsidRPr="00FC077F">
        <w:rPr>
          <w:rStyle w:val="Emphasis"/>
          <w:rFonts w:ascii="Franklin Gothic Book" w:hAnsi="Franklin Gothic Book"/>
          <w:i w:val="0"/>
          <w:color w:val="000000"/>
          <w:sz w:val="22"/>
          <w:szCs w:val="22"/>
          <w:lang w:val="en-US"/>
        </w:rPr>
        <w:t>f its scope, make</w:t>
      </w:r>
      <w:r w:rsidRPr="00FC077F">
        <w:rPr>
          <w:rStyle w:val="Emphasis"/>
          <w:rFonts w:ascii="Franklin Gothic Book" w:hAnsi="Franklin Gothic Book"/>
          <w:i w:val="0"/>
          <w:color w:val="000000"/>
          <w:sz w:val="22"/>
          <w:szCs w:val="22"/>
          <w:lang w:val="en-US"/>
        </w:rPr>
        <w:t xml:space="preserve"> it impossible for data subjects to foresee its </w:t>
      </w:r>
      <w:r w:rsidR="00091E6C" w:rsidRPr="00FC077F">
        <w:rPr>
          <w:rStyle w:val="Emphasis"/>
          <w:rFonts w:ascii="Franklin Gothic Book" w:hAnsi="Franklin Gothic Book"/>
          <w:i w:val="0"/>
          <w:color w:val="000000"/>
          <w:sz w:val="22"/>
          <w:szCs w:val="22"/>
          <w:lang w:val="en-US"/>
        </w:rPr>
        <w:t xml:space="preserve">application; this is only reinforced by the </w:t>
      </w:r>
      <w:r w:rsidRPr="00FC077F">
        <w:rPr>
          <w:rStyle w:val="Emphasis"/>
          <w:rFonts w:ascii="Franklin Gothic Book" w:hAnsi="Franklin Gothic Book"/>
          <w:i w:val="0"/>
          <w:color w:val="000000"/>
          <w:sz w:val="22"/>
          <w:szCs w:val="22"/>
          <w:lang w:val="en-US"/>
        </w:rPr>
        <w:t>secrecy made p</w:t>
      </w:r>
      <w:r w:rsidR="00091E6C" w:rsidRPr="00FC077F">
        <w:rPr>
          <w:rStyle w:val="Emphasis"/>
          <w:rFonts w:ascii="Franklin Gothic Book" w:hAnsi="Franklin Gothic Book"/>
          <w:i w:val="0"/>
          <w:color w:val="000000"/>
          <w:sz w:val="22"/>
          <w:szCs w:val="22"/>
          <w:lang w:val="en-US"/>
        </w:rPr>
        <w:t xml:space="preserve">ossible by the exemption in the processing of individuals’ personal data. </w:t>
      </w:r>
    </w:p>
    <w:p w14:paraId="52647EA0" w14:textId="77777777" w:rsidR="009B4C49" w:rsidRPr="00FC077F" w:rsidRDefault="009B4C49" w:rsidP="009B4C49">
      <w:pPr>
        <w:pStyle w:val="Heading4"/>
      </w:pPr>
      <w:bookmarkStart w:id="30" w:name="_Toc10494472"/>
      <w:r w:rsidRPr="00FC077F">
        <w:t>Derogations from data subject rights under the “immigration control exemption” are neither necessary nor proportionate</w:t>
      </w:r>
      <w:bookmarkEnd w:id="30"/>
    </w:p>
    <w:p w14:paraId="745AB0E4" w14:textId="77777777" w:rsidR="009B4C49" w:rsidRDefault="00BB0ADF" w:rsidP="00943B68">
      <w:pPr>
        <w:pStyle w:val="Default"/>
        <w:jc w:val="both"/>
        <w:rPr>
          <w:color w:val="auto"/>
          <w:sz w:val="22"/>
          <w:szCs w:val="22"/>
        </w:rPr>
      </w:pPr>
      <w:r w:rsidRPr="00FC077F">
        <w:rPr>
          <w:color w:val="auto"/>
          <w:sz w:val="22"/>
          <w:szCs w:val="22"/>
        </w:rPr>
        <w:t xml:space="preserve">While sector-specific exceptions may be permissible under Article 23 of the GDPR (for instance, in the context of intelligence services), blanket </w:t>
      </w:r>
      <w:r w:rsidR="003D1681" w:rsidRPr="00FC077F">
        <w:rPr>
          <w:color w:val="auto"/>
          <w:sz w:val="22"/>
          <w:szCs w:val="22"/>
        </w:rPr>
        <w:t>exceptions</w:t>
      </w:r>
      <w:r w:rsidRPr="00FC077F">
        <w:rPr>
          <w:color w:val="auto"/>
          <w:sz w:val="22"/>
          <w:szCs w:val="22"/>
        </w:rPr>
        <w:t xml:space="preserve">, </w:t>
      </w:r>
      <w:r w:rsidR="003D1681" w:rsidRPr="00FC077F">
        <w:rPr>
          <w:color w:val="auto"/>
          <w:sz w:val="22"/>
          <w:szCs w:val="22"/>
        </w:rPr>
        <w:t>such as</w:t>
      </w:r>
      <w:r w:rsidRPr="00FC077F">
        <w:rPr>
          <w:color w:val="auto"/>
          <w:sz w:val="22"/>
          <w:szCs w:val="22"/>
        </w:rPr>
        <w:t xml:space="preserve"> the one created under Schedule 2, Part 1, paragraph 4 of the DPA generally are not, given that their sweeping nature makes it highl</w:t>
      </w:r>
      <w:r w:rsidR="003D1681" w:rsidRPr="00FC077F">
        <w:rPr>
          <w:color w:val="auto"/>
          <w:sz w:val="22"/>
          <w:szCs w:val="22"/>
        </w:rPr>
        <w:t>y</w:t>
      </w:r>
      <w:r w:rsidRPr="00FC077F">
        <w:rPr>
          <w:color w:val="auto"/>
          <w:sz w:val="22"/>
          <w:szCs w:val="22"/>
        </w:rPr>
        <w:t xml:space="preserve"> likely they lack (</w:t>
      </w:r>
      <w:proofErr w:type="spellStart"/>
      <w:r w:rsidRPr="00FC077F">
        <w:rPr>
          <w:color w:val="auto"/>
          <w:sz w:val="22"/>
          <w:szCs w:val="22"/>
        </w:rPr>
        <w:t>i</w:t>
      </w:r>
      <w:proofErr w:type="spellEnd"/>
      <w:r w:rsidRPr="00FC077F">
        <w:rPr>
          <w:color w:val="auto"/>
          <w:sz w:val="22"/>
          <w:szCs w:val="22"/>
        </w:rPr>
        <w:t>) proportionality and necessity, (ii) specificity in their application, and (iii) safeguards against abuses of the personal data processed under the exceptions.</w:t>
      </w:r>
      <w:r w:rsidR="00943B68">
        <w:rPr>
          <w:color w:val="auto"/>
          <w:sz w:val="22"/>
          <w:szCs w:val="22"/>
        </w:rPr>
        <w:t xml:space="preserve"> Such is the case here.</w:t>
      </w:r>
    </w:p>
    <w:p w14:paraId="564102D4" w14:textId="77777777" w:rsidR="00943B68" w:rsidRPr="00943B68" w:rsidRDefault="00943B68" w:rsidP="00943B68">
      <w:pPr>
        <w:pStyle w:val="Default"/>
        <w:jc w:val="both"/>
        <w:rPr>
          <w:color w:val="auto"/>
          <w:sz w:val="22"/>
          <w:szCs w:val="22"/>
        </w:rPr>
      </w:pPr>
    </w:p>
    <w:p w14:paraId="17165D5A" w14:textId="77777777" w:rsidR="009B4C49" w:rsidRPr="00FC077F" w:rsidRDefault="009B4C49" w:rsidP="009B4C49">
      <w:pPr>
        <w:pStyle w:val="Default"/>
        <w:jc w:val="both"/>
        <w:rPr>
          <w:b/>
          <w:sz w:val="22"/>
          <w:szCs w:val="22"/>
        </w:rPr>
      </w:pPr>
      <w:r w:rsidRPr="00FC077F">
        <w:rPr>
          <w:b/>
          <w:sz w:val="22"/>
          <w:szCs w:val="22"/>
        </w:rPr>
        <w:t>The restrictions on data subject rights are not necessary</w:t>
      </w:r>
    </w:p>
    <w:p w14:paraId="50081378" w14:textId="77777777" w:rsidR="009B4C49" w:rsidRPr="00FC077F" w:rsidRDefault="009B4C49" w:rsidP="009B4C49">
      <w:pPr>
        <w:pStyle w:val="Default"/>
        <w:jc w:val="both"/>
        <w:rPr>
          <w:b/>
          <w:sz w:val="22"/>
          <w:szCs w:val="22"/>
        </w:rPr>
      </w:pPr>
    </w:p>
    <w:p w14:paraId="60DFD143" w14:textId="77777777" w:rsidR="009B4C49" w:rsidRPr="00FC077F" w:rsidRDefault="009B4C49" w:rsidP="009B4C49">
      <w:pPr>
        <w:pStyle w:val="Default"/>
        <w:jc w:val="both"/>
        <w:rPr>
          <w:sz w:val="22"/>
          <w:szCs w:val="22"/>
        </w:rPr>
      </w:pPr>
      <w:r w:rsidRPr="00FC077F">
        <w:rPr>
          <w:sz w:val="22"/>
          <w:szCs w:val="22"/>
        </w:rPr>
        <w:lastRenderedPageBreak/>
        <w:t xml:space="preserve">The jurisprudence of the Court of Justice of the European Union applies a </w:t>
      </w:r>
      <w:r w:rsidRPr="00FC077F">
        <w:rPr>
          <w:sz w:val="22"/>
          <w:szCs w:val="22"/>
          <w:u w:val="single"/>
        </w:rPr>
        <w:t>strict necessity</w:t>
      </w:r>
      <w:r w:rsidRPr="00FC077F">
        <w:rPr>
          <w:sz w:val="22"/>
          <w:szCs w:val="22"/>
        </w:rPr>
        <w:t xml:space="preserve"> test</w:t>
      </w:r>
      <w:r w:rsidRPr="00FC077F">
        <w:rPr>
          <w:rStyle w:val="FootnoteReference"/>
          <w:sz w:val="22"/>
          <w:szCs w:val="22"/>
        </w:rPr>
        <w:footnoteReference w:id="18"/>
      </w:r>
      <w:r w:rsidRPr="00FC077F">
        <w:rPr>
          <w:sz w:val="22"/>
          <w:szCs w:val="22"/>
        </w:rPr>
        <w:t xml:space="preserve"> for any limitations on the rights to personal data protection and respect for family life in the context of processing personal data. This strict necessity applies equally to law enforcement as to commercial or other areas, because of the importance that personal data has for a range of fundamental rights. Consequently, "</w:t>
      </w:r>
      <w:r w:rsidRPr="00FC077F">
        <w:rPr>
          <w:i/>
          <w:sz w:val="22"/>
          <w:szCs w:val="22"/>
        </w:rPr>
        <w:t>derogations and limitations in relation to the protection of personal data must apply only in so far as is strictly necessary</w:t>
      </w:r>
      <w:r w:rsidRPr="00FC077F">
        <w:rPr>
          <w:sz w:val="22"/>
          <w:szCs w:val="22"/>
        </w:rPr>
        <w:t>".</w:t>
      </w:r>
      <w:r w:rsidR="003D1681" w:rsidRPr="00FC077F">
        <w:rPr>
          <w:rStyle w:val="FootnoteReference"/>
          <w:sz w:val="22"/>
          <w:szCs w:val="22"/>
        </w:rPr>
        <w:footnoteReference w:id="19"/>
      </w:r>
      <w:r w:rsidRPr="00FC077F">
        <w:rPr>
          <w:sz w:val="22"/>
          <w:szCs w:val="22"/>
        </w:rPr>
        <w:t xml:space="preserve"> </w:t>
      </w:r>
    </w:p>
    <w:p w14:paraId="056BDC0C" w14:textId="77777777" w:rsidR="009B4C49" w:rsidRPr="00FC077F" w:rsidRDefault="009B4C49" w:rsidP="009B4C49">
      <w:pPr>
        <w:pStyle w:val="Default"/>
        <w:jc w:val="both"/>
        <w:rPr>
          <w:sz w:val="22"/>
          <w:szCs w:val="22"/>
        </w:rPr>
      </w:pPr>
    </w:p>
    <w:p w14:paraId="15E570A2" w14:textId="77777777" w:rsidR="00D23FC8" w:rsidRPr="00FC077F" w:rsidRDefault="009B4C49" w:rsidP="009B4C49">
      <w:pPr>
        <w:pStyle w:val="Default"/>
        <w:jc w:val="both"/>
        <w:rPr>
          <w:sz w:val="22"/>
          <w:szCs w:val="22"/>
        </w:rPr>
      </w:pPr>
      <w:r w:rsidRPr="00FC077F">
        <w:rPr>
          <w:sz w:val="22"/>
          <w:szCs w:val="22"/>
        </w:rPr>
        <w:t>Each aspect of the measure is subject to the strict necessity test.</w:t>
      </w:r>
      <w:r w:rsidR="003D1681" w:rsidRPr="00FC077F">
        <w:rPr>
          <w:rStyle w:val="FootnoteReference"/>
          <w:sz w:val="22"/>
          <w:szCs w:val="22"/>
        </w:rPr>
        <w:footnoteReference w:id="20"/>
      </w:r>
      <w:r w:rsidRPr="00FC077F">
        <w:rPr>
          <w:sz w:val="22"/>
          <w:szCs w:val="22"/>
        </w:rPr>
        <w:t xml:space="preserve"> Th</w:t>
      </w:r>
      <w:r w:rsidR="00703DB4" w:rsidRPr="00FC077F">
        <w:rPr>
          <w:sz w:val="22"/>
          <w:szCs w:val="22"/>
        </w:rPr>
        <w:t>is</w:t>
      </w:r>
      <w:r w:rsidRPr="00FC077F">
        <w:rPr>
          <w:sz w:val="22"/>
          <w:szCs w:val="22"/>
        </w:rPr>
        <w:t xml:space="preserve"> assessment depends on “</w:t>
      </w:r>
      <w:r w:rsidRPr="00FC077F">
        <w:rPr>
          <w:i/>
          <w:sz w:val="22"/>
          <w:szCs w:val="22"/>
        </w:rPr>
        <w:t xml:space="preserve">clear and precise rules governing </w:t>
      </w:r>
      <w:r w:rsidR="00943B68">
        <w:rPr>
          <w:i/>
          <w:sz w:val="22"/>
          <w:szCs w:val="22"/>
        </w:rPr>
        <w:t>[a measure’s]</w:t>
      </w:r>
      <w:r w:rsidRPr="00FC077F">
        <w:rPr>
          <w:i/>
          <w:sz w:val="22"/>
          <w:szCs w:val="22"/>
        </w:rPr>
        <w:t xml:space="preserve"> scope and application”</w:t>
      </w:r>
      <w:r w:rsidRPr="00FC077F">
        <w:rPr>
          <w:sz w:val="22"/>
          <w:szCs w:val="22"/>
        </w:rPr>
        <w:t>. Clear and precise rules are important also to comply with most of the other criteria of Article 52(1) CFR.</w:t>
      </w:r>
      <w:r w:rsidR="003D1681" w:rsidRPr="00FC077F">
        <w:rPr>
          <w:rStyle w:val="FootnoteReference"/>
          <w:sz w:val="22"/>
          <w:szCs w:val="22"/>
        </w:rPr>
        <w:footnoteReference w:id="21"/>
      </w:r>
      <w:r w:rsidR="00D23FC8" w:rsidRPr="00FC077F">
        <w:rPr>
          <w:sz w:val="22"/>
          <w:szCs w:val="22"/>
        </w:rPr>
        <w:t xml:space="preserve"> Such rules and guidance on the application of the “immigration exemption” are </w:t>
      </w:r>
      <w:r w:rsidR="00943B68">
        <w:rPr>
          <w:sz w:val="22"/>
          <w:szCs w:val="22"/>
        </w:rPr>
        <w:t xml:space="preserve">notably </w:t>
      </w:r>
      <w:r w:rsidR="00D23FC8" w:rsidRPr="00FC077F">
        <w:rPr>
          <w:sz w:val="22"/>
          <w:szCs w:val="22"/>
        </w:rPr>
        <w:t>absent from the DPA.</w:t>
      </w:r>
    </w:p>
    <w:p w14:paraId="1E1EBA24" w14:textId="77777777" w:rsidR="00D23FC8" w:rsidRPr="00FC077F" w:rsidRDefault="00D23FC8" w:rsidP="009B4C49">
      <w:pPr>
        <w:pStyle w:val="Default"/>
        <w:jc w:val="both"/>
        <w:rPr>
          <w:sz w:val="22"/>
          <w:szCs w:val="22"/>
        </w:rPr>
      </w:pPr>
    </w:p>
    <w:p w14:paraId="1BD7AEE7" w14:textId="77777777" w:rsidR="00291188" w:rsidRPr="00FC077F" w:rsidRDefault="00D23FC8" w:rsidP="00D23FC8">
      <w:pPr>
        <w:pStyle w:val="Default"/>
        <w:jc w:val="both"/>
        <w:rPr>
          <w:color w:val="auto"/>
          <w:sz w:val="22"/>
          <w:szCs w:val="22"/>
        </w:rPr>
      </w:pPr>
      <w:r w:rsidRPr="00FC077F">
        <w:rPr>
          <w:sz w:val="22"/>
          <w:szCs w:val="22"/>
        </w:rPr>
        <w:t>Necessity also entails that t</w:t>
      </w:r>
      <w:r w:rsidR="009B4C49" w:rsidRPr="00FC077F">
        <w:rPr>
          <w:sz w:val="22"/>
          <w:szCs w:val="22"/>
        </w:rPr>
        <w:t>he measure detail why existing, or less intrusive</w:t>
      </w:r>
      <w:r w:rsidR="00943B68">
        <w:rPr>
          <w:sz w:val="22"/>
          <w:szCs w:val="22"/>
        </w:rPr>
        <w:t>,</w:t>
      </w:r>
      <w:r w:rsidR="009B4C49" w:rsidRPr="00FC077F">
        <w:rPr>
          <w:sz w:val="22"/>
          <w:szCs w:val="22"/>
        </w:rPr>
        <w:t xml:space="preserve"> alternative</w:t>
      </w:r>
      <w:r w:rsidR="00B25A16">
        <w:rPr>
          <w:sz w:val="22"/>
          <w:szCs w:val="22"/>
        </w:rPr>
        <w:t>s</w:t>
      </w:r>
      <w:r w:rsidR="009B4C49" w:rsidRPr="00FC077F">
        <w:rPr>
          <w:sz w:val="22"/>
          <w:szCs w:val="22"/>
        </w:rPr>
        <w:t xml:space="preserve"> are insufficient to address the problem; and why the proposed measure can address the problem more effectively.</w:t>
      </w:r>
      <w:r w:rsidRPr="00FC077F">
        <w:rPr>
          <w:sz w:val="22"/>
          <w:szCs w:val="22"/>
        </w:rPr>
        <w:t xml:space="preserve"> </w:t>
      </w:r>
      <w:r w:rsidR="00291188" w:rsidRPr="00FC077F">
        <w:rPr>
          <w:sz w:val="22"/>
          <w:szCs w:val="22"/>
        </w:rPr>
        <w:t xml:space="preserve">Significantly, </w:t>
      </w:r>
      <w:r w:rsidR="00291188" w:rsidRPr="00FC077F">
        <w:rPr>
          <w:rFonts w:cs="Times New Roman"/>
          <w:color w:val="auto"/>
          <w:sz w:val="22"/>
          <w:szCs w:val="22"/>
        </w:rPr>
        <w:t>t</w:t>
      </w:r>
      <w:r w:rsidR="00291188" w:rsidRPr="00FC077F">
        <w:rPr>
          <w:color w:val="auto"/>
          <w:sz w:val="22"/>
          <w:szCs w:val="22"/>
        </w:rPr>
        <w:t xml:space="preserve">he DPA does not specify how restricting data subjects’ right to information </w:t>
      </w:r>
      <w:r w:rsidR="00943B68">
        <w:rPr>
          <w:color w:val="auto"/>
          <w:sz w:val="22"/>
          <w:szCs w:val="22"/>
        </w:rPr>
        <w:t>about</w:t>
      </w:r>
      <w:r w:rsidR="00291188" w:rsidRPr="00FC077F">
        <w:rPr>
          <w:color w:val="auto"/>
          <w:sz w:val="22"/>
          <w:szCs w:val="22"/>
        </w:rPr>
        <w:t xml:space="preserve"> the</w:t>
      </w:r>
      <w:r w:rsidR="00943B68">
        <w:rPr>
          <w:color w:val="auto"/>
          <w:sz w:val="22"/>
          <w:szCs w:val="22"/>
        </w:rPr>
        <w:t>ir</w:t>
      </w:r>
      <w:r w:rsidR="00291188" w:rsidRPr="00FC077F">
        <w:rPr>
          <w:color w:val="auto"/>
          <w:sz w:val="22"/>
          <w:szCs w:val="22"/>
        </w:rPr>
        <w:t xml:space="preserve"> personal data would achieve effective immigration control, and it does not appear to rely on any research or other information to underpin its reasoning. </w:t>
      </w:r>
    </w:p>
    <w:p w14:paraId="3C5D93C2" w14:textId="77777777" w:rsidR="00291188" w:rsidRPr="00FC077F" w:rsidRDefault="00291188" w:rsidP="00D23FC8">
      <w:pPr>
        <w:pStyle w:val="Default"/>
        <w:jc w:val="both"/>
        <w:rPr>
          <w:sz w:val="22"/>
          <w:szCs w:val="22"/>
        </w:rPr>
      </w:pPr>
    </w:p>
    <w:p w14:paraId="6CFA4A06" w14:textId="77777777" w:rsidR="009B4C49" w:rsidRPr="00FC077F" w:rsidRDefault="00291188" w:rsidP="009B4C49">
      <w:pPr>
        <w:pStyle w:val="Default"/>
        <w:jc w:val="both"/>
        <w:rPr>
          <w:rFonts w:cs="Times New Roman"/>
          <w:sz w:val="22"/>
          <w:szCs w:val="22"/>
        </w:rPr>
      </w:pPr>
      <w:r w:rsidRPr="00FC077F">
        <w:rPr>
          <w:sz w:val="22"/>
          <w:szCs w:val="22"/>
        </w:rPr>
        <w:t>T</w:t>
      </w:r>
      <w:r w:rsidR="00D23FC8" w:rsidRPr="00FC077F">
        <w:rPr>
          <w:sz w:val="22"/>
          <w:szCs w:val="22"/>
        </w:rPr>
        <w:t>he UK government has justified the exemption by claiming that it is needed to forestall possible absconding by people informed of any processing of their personal data with a view to their removal, for instance, or for investigati</w:t>
      </w:r>
      <w:r w:rsidR="00943B68">
        <w:rPr>
          <w:sz w:val="22"/>
          <w:szCs w:val="22"/>
        </w:rPr>
        <w:t>ng</w:t>
      </w:r>
      <w:r w:rsidR="00D23FC8" w:rsidRPr="00FC077F">
        <w:rPr>
          <w:sz w:val="22"/>
          <w:szCs w:val="22"/>
        </w:rPr>
        <w:t xml:space="preserve"> the veracity of information provided to support an application for leave to remain in the UK.</w:t>
      </w:r>
      <w:r w:rsidR="00D23FC8" w:rsidRPr="00FC077F">
        <w:rPr>
          <w:rStyle w:val="FootnoteReference"/>
          <w:sz w:val="22"/>
          <w:szCs w:val="22"/>
        </w:rPr>
        <w:footnoteReference w:id="22"/>
      </w:r>
      <w:r w:rsidR="00D23FC8" w:rsidRPr="00FC077F">
        <w:rPr>
          <w:sz w:val="22"/>
          <w:szCs w:val="22"/>
        </w:rPr>
        <w:t xml:space="preserve"> And yet </w:t>
      </w:r>
      <w:r w:rsidR="00D23FC8" w:rsidRPr="00FC077F">
        <w:rPr>
          <w:sz w:val="22"/>
          <w:szCs w:val="22"/>
          <w:u w:val="single"/>
        </w:rPr>
        <w:t>no evidence</w:t>
      </w:r>
      <w:r w:rsidRPr="00FC077F">
        <w:rPr>
          <w:rFonts w:cs="Times New Roman"/>
          <w:sz w:val="22"/>
          <w:szCs w:val="22"/>
        </w:rPr>
        <w:t xml:space="preserve"> </w:t>
      </w:r>
      <w:r w:rsidR="00D23FC8" w:rsidRPr="00FC077F">
        <w:rPr>
          <w:sz w:val="22"/>
          <w:szCs w:val="22"/>
        </w:rPr>
        <w:t xml:space="preserve">has been presented to show that provisions elsewhere in the DPA (for instance, those concerning law enforcement, under Part 1 of the DPA) are inadequate to address the aims of immigration enforcement. </w:t>
      </w:r>
      <w:r w:rsidR="00943B68">
        <w:rPr>
          <w:sz w:val="22"/>
          <w:szCs w:val="22"/>
        </w:rPr>
        <w:t xml:space="preserve">More concerning, </w:t>
      </w:r>
      <w:r w:rsidR="00943B68">
        <w:rPr>
          <w:rFonts w:cs="Times New Roman"/>
          <w:sz w:val="22"/>
          <w:szCs w:val="22"/>
        </w:rPr>
        <w:t>n</w:t>
      </w:r>
      <w:r w:rsidR="00D23FC8" w:rsidRPr="00FC077F">
        <w:rPr>
          <w:rFonts w:cs="Times New Roman"/>
          <w:sz w:val="22"/>
          <w:szCs w:val="22"/>
        </w:rPr>
        <w:t xml:space="preserve">o evidence has been adduced about the number of people who purportedly abscond under the current legal framework, when they are provided information about processing of their data or responses to requests for information about their data. And indeed, the government has, to our knowledge, provided no </w:t>
      </w:r>
      <w:r w:rsidR="009B4C49" w:rsidRPr="00FC077F">
        <w:rPr>
          <w:sz w:val="22"/>
          <w:szCs w:val="22"/>
        </w:rPr>
        <w:t>evidence to support the need, or the effectiveness, of the exemption, which did not exist in</w:t>
      </w:r>
      <w:r w:rsidR="00D23FC8" w:rsidRPr="00FC077F">
        <w:rPr>
          <w:sz w:val="22"/>
          <w:szCs w:val="22"/>
        </w:rPr>
        <w:t xml:space="preserve"> the DPA’s predecessor</w:t>
      </w:r>
      <w:r w:rsidR="009B4C49" w:rsidRPr="00FC077F">
        <w:rPr>
          <w:sz w:val="22"/>
          <w:szCs w:val="22"/>
        </w:rPr>
        <w:t>. On 13 November 2017, Lord Clement Jones expressed the following concerns at a debate of the House of Lords Data Protection Bill Committee:</w:t>
      </w:r>
    </w:p>
    <w:p w14:paraId="58F6AC22" w14:textId="77777777" w:rsidR="009B4C49" w:rsidRPr="00FC077F" w:rsidRDefault="009B4C49" w:rsidP="009B4C49">
      <w:pPr>
        <w:pStyle w:val="Default"/>
        <w:jc w:val="both"/>
        <w:rPr>
          <w:sz w:val="22"/>
          <w:szCs w:val="22"/>
        </w:rPr>
      </w:pPr>
    </w:p>
    <w:p w14:paraId="0A367A2F" w14:textId="7115DA56" w:rsidR="009B4C49" w:rsidRPr="00FC077F" w:rsidRDefault="009B4C49" w:rsidP="009B4C49">
      <w:pPr>
        <w:pStyle w:val="Default"/>
        <w:ind w:left="705"/>
        <w:jc w:val="both"/>
        <w:rPr>
          <w:i/>
          <w:sz w:val="22"/>
          <w:szCs w:val="22"/>
        </w:rPr>
      </w:pPr>
      <w:r w:rsidRPr="00FC077F">
        <w:rPr>
          <w:i/>
          <w:sz w:val="22"/>
          <w:szCs w:val="22"/>
        </w:rPr>
        <w:t xml:space="preserve">The immigration exemption is new in the Bill; there was no direct equivalent under the Data Protection Act 1998. This is the broad and wide-ranging exemption that is open to abuse. </w:t>
      </w:r>
      <w:r w:rsidRPr="00FC077F">
        <w:rPr>
          <w:i/>
          <w:sz w:val="22"/>
          <w:szCs w:val="22"/>
          <w:u w:val="single"/>
        </w:rPr>
        <w:t>The exemption should be removed altogether, as there are other exemptions in the Bill that the immigration authorities can, and should, seek to rely on for the processing of personal data in accordance with their statutory duties and functions.</w:t>
      </w:r>
      <w:r w:rsidRPr="00FC077F">
        <w:rPr>
          <w:i/>
          <w:sz w:val="22"/>
          <w:szCs w:val="22"/>
        </w:rPr>
        <w:t xml:space="preserve"> The current provision, under the heading “Immigration,” removes all rights from a data subject that the Home Office wishes it did not have. Such removals are not restricted to those who have been found </w:t>
      </w:r>
      <w:r w:rsidR="006319A6" w:rsidRPr="00FC077F">
        <w:rPr>
          <w:i/>
          <w:sz w:val="22"/>
          <w:szCs w:val="22"/>
        </w:rPr>
        <w:t>guilty</w:t>
      </w:r>
      <w:r w:rsidRPr="00FC077F">
        <w:rPr>
          <w:i/>
          <w:sz w:val="22"/>
          <w:szCs w:val="22"/>
        </w:rPr>
        <w:t xml:space="preserve"> of immigration offences, but apply to every data subject, including Home Office clerical errors. </w:t>
      </w:r>
      <w:r w:rsidR="004D5048">
        <w:rPr>
          <w:i/>
          <w:sz w:val="22"/>
          <w:szCs w:val="22"/>
        </w:rPr>
        <w:t xml:space="preserve">It is </w:t>
      </w:r>
      <w:r w:rsidRPr="00FC077F">
        <w:rPr>
          <w:i/>
          <w:sz w:val="22"/>
          <w:szCs w:val="22"/>
        </w:rPr>
        <w:t>exactly those errors that data protection regulates …</w:t>
      </w:r>
    </w:p>
    <w:p w14:paraId="66FA0AC7" w14:textId="77777777" w:rsidR="009B4C49" w:rsidRPr="00FC077F" w:rsidRDefault="009B4C49" w:rsidP="009B4C49">
      <w:pPr>
        <w:pStyle w:val="Default"/>
        <w:ind w:left="705"/>
        <w:jc w:val="both"/>
        <w:rPr>
          <w:i/>
          <w:sz w:val="22"/>
          <w:szCs w:val="22"/>
        </w:rPr>
      </w:pPr>
    </w:p>
    <w:p w14:paraId="217C6CDB" w14:textId="77777777" w:rsidR="009B4C49" w:rsidRPr="00FC077F" w:rsidRDefault="009B4C49" w:rsidP="009B4C49">
      <w:pPr>
        <w:pStyle w:val="Default"/>
        <w:ind w:left="705"/>
        <w:jc w:val="both"/>
        <w:rPr>
          <w:sz w:val="22"/>
          <w:szCs w:val="22"/>
        </w:rPr>
      </w:pPr>
      <w:r w:rsidRPr="00FC077F">
        <w:rPr>
          <w:i/>
          <w:sz w:val="22"/>
          <w:szCs w:val="22"/>
        </w:rPr>
        <w:lastRenderedPageBreak/>
        <w:t xml:space="preserve">[…] </w:t>
      </w:r>
      <w:r w:rsidRPr="00FC077F">
        <w:rPr>
          <w:i/>
          <w:sz w:val="22"/>
          <w:szCs w:val="22"/>
          <w:u w:val="single"/>
        </w:rPr>
        <w:t xml:space="preserve">The immigration authorities should be able to justify the inclusion of this exemption </w:t>
      </w:r>
      <w:proofErr w:type="gramStart"/>
      <w:r w:rsidRPr="00FC077F">
        <w:rPr>
          <w:i/>
          <w:sz w:val="22"/>
          <w:szCs w:val="22"/>
          <w:u w:val="single"/>
        </w:rPr>
        <w:t>on the basis of</w:t>
      </w:r>
      <w:proofErr w:type="gramEnd"/>
      <w:r w:rsidRPr="00FC077F">
        <w:rPr>
          <w:i/>
          <w:sz w:val="22"/>
          <w:szCs w:val="22"/>
          <w:u w:val="single"/>
        </w:rPr>
        <w:t xml:space="preserve"> hard evidence</w:t>
      </w:r>
      <w:r w:rsidRPr="00FC077F">
        <w:rPr>
          <w:i/>
          <w:sz w:val="22"/>
          <w:szCs w:val="22"/>
        </w:rPr>
        <w:t>. The Home Office should be able to provide examples of subject access requests where personal data were released to the detriment of the public interest. […]</w:t>
      </w:r>
      <w:r w:rsidR="008804B5" w:rsidRPr="00FC077F">
        <w:rPr>
          <w:rStyle w:val="FootnoteReference"/>
          <w:i/>
          <w:sz w:val="22"/>
          <w:szCs w:val="22"/>
        </w:rPr>
        <w:footnoteReference w:id="23"/>
      </w:r>
      <w:r w:rsidR="008804B5" w:rsidRPr="00FC077F">
        <w:rPr>
          <w:i/>
          <w:sz w:val="22"/>
          <w:szCs w:val="22"/>
        </w:rPr>
        <w:t xml:space="preserve"> </w:t>
      </w:r>
      <w:r w:rsidR="008804B5" w:rsidRPr="00FC077F">
        <w:rPr>
          <w:sz w:val="22"/>
          <w:szCs w:val="22"/>
        </w:rPr>
        <w:t>(emphasis added)</w:t>
      </w:r>
    </w:p>
    <w:p w14:paraId="3D68CB00" w14:textId="77777777" w:rsidR="009B4C49" w:rsidRPr="00FC077F" w:rsidRDefault="009B4C49" w:rsidP="009B4C49">
      <w:pPr>
        <w:pStyle w:val="Default"/>
        <w:jc w:val="both"/>
        <w:rPr>
          <w:sz w:val="22"/>
          <w:szCs w:val="22"/>
        </w:rPr>
      </w:pPr>
    </w:p>
    <w:p w14:paraId="784096BD" w14:textId="5994534D" w:rsidR="00291188" w:rsidRPr="00FC077F" w:rsidRDefault="009B4C49" w:rsidP="009B4C49">
      <w:pPr>
        <w:pStyle w:val="Default"/>
        <w:jc w:val="both"/>
        <w:rPr>
          <w:rFonts w:cs="Times New Roman"/>
          <w:sz w:val="22"/>
          <w:szCs w:val="22"/>
        </w:rPr>
      </w:pPr>
      <w:r w:rsidRPr="00FC077F">
        <w:rPr>
          <w:rFonts w:cs="Times New Roman"/>
          <w:sz w:val="22"/>
          <w:szCs w:val="22"/>
        </w:rPr>
        <w:t xml:space="preserve">Despite these concerns, the immigration exemption was retained in the final </w:t>
      </w:r>
      <w:r w:rsidRPr="00BC39E1">
        <w:rPr>
          <w:rFonts w:cs="Times New Roman"/>
          <w:sz w:val="22"/>
          <w:szCs w:val="22"/>
        </w:rPr>
        <w:t>bill,</w:t>
      </w:r>
      <w:r w:rsidRPr="00FC077F">
        <w:rPr>
          <w:rFonts w:cs="Times New Roman"/>
          <w:sz w:val="22"/>
          <w:szCs w:val="22"/>
        </w:rPr>
        <w:t xml:space="preserve"> passed in May 201</w:t>
      </w:r>
      <w:r w:rsidR="00BC39E1">
        <w:rPr>
          <w:rFonts w:cs="Times New Roman"/>
          <w:sz w:val="22"/>
          <w:szCs w:val="22"/>
        </w:rPr>
        <w:t>8</w:t>
      </w:r>
      <w:r w:rsidR="00291188" w:rsidRPr="00FC077F">
        <w:rPr>
          <w:rFonts w:cs="Times New Roman"/>
          <w:sz w:val="22"/>
          <w:szCs w:val="22"/>
        </w:rPr>
        <w:t xml:space="preserve"> without any apparent balancing of the deprivation of fundamental data protection rights of data subjects against the urgency of tackling the risk of absconding</w:t>
      </w:r>
      <w:r w:rsidR="00943B68">
        <w:rPr>
          <w:rFonts w:cs="Times New Roman"/>
          <w:sz w:val="22"/>
          <w:szCs w:val="22"/>
        </w:rPr>
        <w:t xml:space="preserve"> is purportedly addressed</w:t>
      </w:r>
      <w:r w:rsidR="00291188" w:rsidRPr="00FC077F">
        <w:rPr>
          <w:rFonts w:cs="Times New Roman"/>
          <w:sz w:val="22"/>
          <w:szCs w:val="22"/>
        </w:rPr>
        <w:t xml:space="preserve">, or the measure’s effectiveness in this regard.  </w:t>
      </w:r>
    </w:p>
    <w:p w14:paraId="60E3C566" w14:textId="77777777" w:rsidR="009B4C49" w:rsidRPr="00FC077F" w:rsidRDefault="009B4C49" w:rsidP="009B4C49">
      <w:pPr>
        <w:pStyle w:val="Default"/>
        <w:jc w:val="both"/>
        <w:rPr>
          <w:sz w:val="22"/>
          <w:szCs w:val="22"/>
        </w:rPr>
      </w:pPr>
    </w:p>
    <w:p w14:paraId="1D18B3E5" w14:textId="77777777" w:rsidR="009B4C49" w:rsidRPr="00FC077F" w:rsidRDefault="009B4C49" w:rsidP="009B4C49">
      <w:pPr>
        <w:pStyle w:val="Default"/>
        <w:jc w:val="both"/>
        <w:rPr>
          <w:b/>
          <w:sz w:val="22"/>
          <w:szCs w:val="22"/>
        </w:rPr>
      </w:pPr>
      <w:r w:rsidRPr="00FC077F">
        <w:rPr>
          <w:b/>
          <w:sz w:val="22"/>
          <w:szCs w:val="22"/>
        </w:rPr>
        <w:t xml:space="preserve">The restrictions on data subject rights are not proportionate </w:t>
      </w:r>
    </w:p>
    <w:p w14:paraId="57BA29DD" w14:textId="77777777" w:rsidR="009B4C49" w:rsidRPr="00FC077F" w:rsidRDefault="009B4C49" w:rsidP="009B4C49">
      <w:pPr>
        <w:pStyle w:val="Default"/>
        <w:jc w:val="both"/>
        <w:rPr>
          <w:b/>
          <w:sz w:val="22"/>
          <w:szCs w:val="22"/>
        </w:rPr>
      </w:pPr>
    </w:p>
    <w:p w14:paraId="1BE4DCAD" w14:textId="77777777" w:rsidR="00943B68" w:rsidRDefault="00943B68" w:rsidP="009B4C49">
      <w:pPr>
        <w:pStyle w:val="Default"/>
        <w:jc w:val="both"/>
        <w:rPr>
          <w:sz w:val="22"/>
          <w:szCs w:val="22"/>
        </w:rPr>
      </w:pPr>
      <w:r w:rsidRPr="00FC077F">
        <w:rPr>
          <w:sz w:val="22"/>
          <w:szCs w:val="22"/>
        </w:rPr>
        <w:t xml:space="preserve">Broadly speaking, </w:t>
      </w:r>
      <w:r w:rsidRPr="00943B68">
        <w:rPr>
          <w:sz w:val="22"/>
          <w:szCs w:val="22"/>
          <w:u w:val="single"/>
        </w:rPr>
        <w:t>proportionality</w:t>
      </w:r>
      <w:r w:rsidRPr="00FC077F">
        <w:rPr>
          <w:sz w:val="22"/>
          <w:szCs w:val="22"/>
        </w:rPr>
        <w:t xml:space="preserve"> captures both the necessity and the appropriateness of a measure – that is, the extent to which there is a rational connection between the measure and the (legitimate) objective pursued. For a measure to meet the standard of proportionality, as established under Article 52(1) of the Charter, the advantages it generates should not be outweighed by the disadvantages it causes to the exercise of the fundamental rights.</w:t>
      </w:r>
      <w:r w:rsidRPr="00FC077F">
        <w:rPr>
          <w:rStyle w:val="FootnoteReference"/>
          <w:sz w:val="22"/>
          <w:szCs w:val="22"/>
        </w:rPr>
        <w:footnoteReference w:id="24"/>
      </w:r>
    </w:p>
    <w:p w14:paraId="35F2A713" w14:textId="77777777" w:rsidR="00943B68" w:rsidRDefault="00943B68" w:rsidP="009B4C49">
      <w:pPr>
        <w:pStyle w:val="Default"/>
        <w:jc w:val="both"/>
        <w:rPr>
          <w:sz w:val="22"/>
          <w:szCs w:val="22"/>
        </w:rPr>
      </w:pPr>
    </w:p>
    <w:p w14:paraId="39004FA8" w14:textId="77777777" w:rsidR="009B4C49" w:rsidRPr="00FC077F" w:rsidRDefault="00943B68" w:rsidP="009B4C49">
      <w:pPr>
        <w:pStyle w:val="Default"/>
        <w:jc w:val="both"/>
        <w:rPr>
          <w:rFonts w:cs="Times New Roman"/>
          <w:sz w:val="22"/>
          <w:szCs w:val="22"/>
        </w:rPr>
      </w:pPr>
      <w:r>
        <w:rPr>
          <w:sz w:val="22"/>
          <w:szCs w:val="22"/>
        </w:rPr>
        <w:t>A</w:t>
      </w:r>
      <w:r w:rsidR="009B4C49" w:rsidRPr="00FC077F">
        <w:rPr>
          <w:sz w:val="22"/>
          <w:szCs w:val="22"/>
        </w:rPr>
        <w:t xml:space="preserve">ccording to the CJEU, a proportional measure is </w:t>
      </w:r>
      <w:r w:rsidR="009B4C49" w:rsidRPr="00FC077F">
        <w:rPr>
          <w:i/>
          <w:iCs/>
          <w:sz w:val="22"/>
          <w:szCs w:val="22"/>
        </w:rPr>
        <w:t xml:space="preserve">“appropriate” </w:t>
      </w:r>
      <w:r w:rsidR="009B4C49" w:rsidRPr="00FC077F">
        <w:rPr>
          <w:sz w:val="22"/>
          <w:szCs w:val="22"/>
        </w:rPr>
        <w:t xml:space="preserve">for its objective and does not </w:t>
      </w:r>
      <w:r w:rsidR="009B4C49" w:rsidRPr="00FC077F">
        <w:rPr>
          <w:i/>
          <w:iCs/>
          <w:sz w:val="22"/>
          <w:szCs w:val="22"/>
        </w:rPr>
        <w:t xml:space="preserve">“go beyond what is necessary.” </w:t>
      </w:r>
      <w:r w:rsidR="009B4C49" w:rsidRPr="00FC077F">
        <w:rPr>
          <w:sz w:val="22"/>
          <w:szCs w:val="22"/>
        </w:rPr>
        <w:t xml:space="preserve">Like the assessment of necessity, this a very factual test. </w:t>
      </w:r>
      <w:r w:rsidR="009B4C49" w:rsidRPr="00FC077F">
        <w:rPr>
          <w:rFonts w:cs="Times New Roman"/>
          <w:sz w:val="22"/>
          <w:szCs w:val="22"/>
        </w:rPr>
        <w:t xml:space="preserve">In this sense, proportionality is not unrelated to the data processing principle established in Article 5(1)(c) GDPR, “data minimization”, which requires that personal data be adequate, relevant and limited to what is necessary in relation to the purposes for which they are processed. </w:t>
      </w:r>
      <w:r>
        <w:rPr>
          <w:rFonts w:cs="Times New Roman"/>
          <w:sz w:val="22"/>
          <w:szCs w:val="22"/>
        </w:rPr>
        <w:t>T</w:t>
      </w:r>
      <w:r w:rsidR="009B4C49" w:rsidRPr="00FC077F">
        <w:rPr>
          <w:rFonts w:cs="Times New Roman"/>
          <w:sz w:val="22"/>
          <w:szCs w:val="22"/>
        </w:rPr>
        <w:t>his is a crystallization of the underlying principle of data protection that “</w:t>
      </w:r>
      <w:r w:rsidR="009B4C49" w:rsidRPr="00FC077F">
        <w:rPr>
          <w:rFonts w:cs="Times New Roman"/>
          <w:i/>
          <w:iCs/>
          <w:sz w:val="22"/>
          <w:szCs w:val="22"/>
        </w:rPr>
        <w:t>personal data should be processed only if the purpose of the processing could not reasonably be fulfilled by other means</w:t>
      </w:r>
      <w:r w:rsidR="009B4C49" w:rsidRPr="00FC077F">
        <w:rPr>
          <w:rFonts w:cs="Times New Roman"/>
          <w:sz w:val="22"/>
          <w:szCs w:val="22"/>
        </w:rPr>
        <w:t>” (Recital 39 GDPR) and the proportionality principle of general EU law.</w:t>
      </w:r>
    </w:p>
    <w:p w14:paraId="5BFCAC02" w14:textId="77777777" w:rsidR="009B4C49" w:rsidRPr="00FC077F" w:rsidRDefault="009B4C49" w:rsidP="009B4C49">
      <w:pPr>
        <w:pStyle w:val="Default"/>
        <w:jc w:val="both"/>
        <w:rPr>
          <w:sz w:val="22"/>
          <w:szCs w:val="22"/>
        </w:rPr>
      </w:pPr>
    </w:p>
    <w:p w14:paraId="075FA99D" w14:textId="77777777" w:rsidR="009B4C49" w:rsidRPr="00FC077F" w:rsidRDefault="009B4C49" w:rsidP="009B4C49">
      <w:pPr>
        <w:pStyle w:val="Default"/>
        <w:jc w:val="both"/>
        <w:rPr>
          <w:sz w:val="22"/>
          <w:szCs w:val="22"/>
        </w:rPr>
      </w:pPr>
      <w:r w:rsidRPr="00FC077F">
        <w:rPr>
          <w:sz w:val="22"/>
          <w:szCs w:val="22"/>
        </w:rPr>
        <w:t xml:space="preserve">Among the broad range of </w:t>
      </w:r>
      <w:proofErr w:type="gramStart"/>
      <w:r w:rsidRPr="00FC077F">
        <w:rPr>
          <w:sz w:val="22"/>
          <w:szCs w:val="22"/>
        </w:rPr>
        <w:t>factors</w:t>
      </w:r>
      <w:proofErr w:type="gramEnd"/>
      <w:r w:rsidRPr="00FC077F">
        <w:rPr>
          <w:sz w:val="22"/>
          <w:szCs w:val="22"/>
        </w:rPr>
        <w:t xml:space="preserve"> </w:t>
      </w:r>
      <w:r w:rsidR="00943B68">
        <w:rPr>
          <w:sz w:val="22"/>
          <w:szCs w:val="22"/>
        </w:rPr>
        <w:t xml:space="preserve">it has considered in </w:t>
      </w:r>
      <w:r w:rsidRPr="00FC077F">
        <w:rPr>
          <w:sz w:val="22"/>
          <w:szCs w:val="22"/>
        </w:rPr>
        <w:t>assess</w:t>
      </w:r>
      <w:r w:rsidR="003F62CB">
        <w:rPr>
          <w:sz w:val="22"/>
          <w:szCs w:val="22"/>
        </w:rPr>
        <w:t>ing</w:t>
      </w:r>
      <w:r w:rsidRPr="00FC077F">
        <w:rPr>
          <w:sz w:val="22"/>
          <w:szCs w:val="22"/>
        </w:rPr>
        <w:t xml:space="preserve"> proportionality</w:t>
      </w:r>
      <w:r w:rsidR="003F62CB">
        <w:rPr>
          <w:sz w:val="22"/>
          <w:szCs w:val="22"/>
        </w:rPr>
        <w:t>,</w:t>
      </w:r>
      <w:r w:rsidR="003F62CB">
        <w:rPr>
          <w:rStyle w:val="FootnoteReference"/>
          <w:sz w:val="22"/>
          <w:szCs w:val="22"/>
        </w:rPr>
        <w:footnoteReference w:id="25"/>
      </w:r>
      <w:r w:rsidRPr="00FC077F">
        <w:rPr>
          <w:sz w:val="22"/>
          <w:szCs w:val="22"/>
        </w:rPr>
        <w:t xml:space="preserve"> </w:t>
      </w:r>
      <w:r w:rsidR="003F62CB">
        <w:rPr>
          <w:sz w:val="22"/>
          <w:szCs w:val="22"/>
        </w:rPr>
        <w:t>the European Court of Human Rights has</w:t>
      </w:r>
      <w:r w:rsidR="00943B68">
        <w:rPr>
          <w:sz w:val="22"/>
          <w:szCs w:val="22"/>
        </w:rPr>
        <w:t xml:space="preserve"> examined</w:t>
      </w:r>
      <w:r w:rsidR="003F62CB">
        <w:rPr>
          <w:sz w:val="22"/>
          <w:szCs w:val="22"/>
        </w:rPr>
        <w:t xml:space="preserve"> </w:t>
      </w:r>
      <w:r w:rsidRPr="00FC077F">
        <w:rPr>
          <w:sz w:val="22"/>
          <w:szCs w:val="22"/>
        </w:rPr>
        <w:t>whether the scope of the measure is limited, and whether safeguards are in place.</w:t>
      </w:r>
    </w:p>
    <w:p w14:paraId="7BFA9A30" w14:textId="77777777" w:rsidR="009B4C49" w:rsidRPr="00FC077F" w:rsidRDefault="009B4C49" w:rsidP="009B4C49">
      <w:pPr>
        <w:pStyle w:val="Default"/>
        <w:jc w:val="both"/>
        <w:rPr>
          <w:sz w:val="22"/>
          <w:szCs w:val="22"/>
        </w:rPr>
      </w:pPr>
    </w:p>
    <w:p w14:paraId="57FA1F71" w14:textId="77777777" w:rsidR="009B4C49" w:rsidRPr="00FC077F" w:rsidRDefault="009B4C49" w:rsidP="009B4C49">
      <w:pPr>
        <w:pStyle w:val="Default"/>
        <w:jc w:val="both"/>
        <w:rPr>
          <w:sz w:val="22"/>
          <w:szCs w:val="22"/>
        </w:rPr>
      </w:pPr>
      <w:r w:rsidRPr="00FC077F">
        <w:rPr>
          <w:sz w:val="22"/>
          <w:szCs w:val="22"/>
        </w:rPr>
        <w:t xml:space="preserve">With respect to scope, we have already noted the extraordinary breadth and vagueness of the immigration exemption. The UK’s expected departure from the European Union further expands the number of people who will be affected by this exemption. </w:t>
      </w:r>
    </w:p>
    <w:p w14:paraId="31952391" w14:textId="77777777" w:rsidR="009B4C49" w:rsidRPr="00FC077F" w:rsidRDefault="009B4C49" w:rsidP="009B4C49">
      <w:pPr>
        <w:pStyle w:val="Default"/>
        <w:jc w:val="both"/>
        <w:rPr>
          <w:sz w:val="22"/>
          <w:szCs w:val="22"/>
        </w:rPr>
      </w:pPr>
    </w:p>
    <w:p w14:paraId="418252A2" w14:textId="2A4C8F9C" w:rsidR="009B4C49" w:rsidRPr="00FC077F" w:rsidRDefault="009B4C49" w:rsidP="009B4C49">
      <w:pPr>
        <w:pStyle w:val="Default"/>
        <w:jc w:val="both"/>
        <w:rPr>
          <w:sz w:val="22"/>
          <w:szCs w:val="22"/>
        </w:rPr>
      </w:pPr>
      <w:r w:rsidRPr="00FC077F">
        <w:rPr>
          <w:sz w:val="22"/>
          <w:szCs w:val="22"/>
        </w:rPr>
        <w:t>On 23</w:t>
      </w:r>
      <w:r w:rsidRPr="00FC077F">
        <w:rPr>
          <w:sz w:val="22"/>
          <w:szCs w:val="22"/>
          <w:lang w:val="en-US"/>
        </w:rPr>
        <w:t xml:space="preserve"> August 2018, judicial review of the DPA was sought before the High Court of Justice, </w:t>
      </w:r>
      <w:proofErr w:type="gramStart"/>
      <w:r w:rsidRPr="00FC077F">
        <w:rPr>
          <w:sz w:val="22"/>
          <w:szCs w:val="22"/>
          <w:lang w:val="en-US"/>
        </w:rPr>
        <w:t>on the grounds that</w:t>
      </w:r>
      <w:proofErr w:type="gramEnd"/>
      <w:r w:rsidRPr="00FC077F">
        <w:rPr>
          <w:sz w:val="22"/>
          <w:szCs w:val="22"/>
          <w:lang w:val="en-US"/>
        </w:rPr>
        <w:t xml:space="preserve"> the “immigration enforcement exemption” is a foundation of the right to privacy, as guaranteed under Articles 7 and 8 of the ECHR, and the </w:t>
      </w:r>
      <w:r w:rsidR="00BC39E1">
        <w:rPr>
          <w:sz w:val="22"/>
          <w:szCs w:val="22"/>
          <w:lang w:val="en-US"/>
        </w:rPr>
        <w:t>Charter</w:t>
      </w:r>
      <w:r w:rsidRPr="00FC077F">
        <w:rPr>
          <w:sz w:val="22"/>
          <w:szCs w:val="22"/>
          <w:lang w:val="en-US"/>
        </w:rPr>
        <w:t>. Among other things, the complainants argue that “exemption could affect the living status of millions of people, and the rights of even more.”</w:t>
      </w:r>
    </w:p>
    <w:p w14:paraId="3FA8EC57" w14:textId="77777777" w:rsidR="009B4C49" w:rsidRPr="00FC077F" w:rsidRDefault="009B4C49" w:rsidP="009B4C49">
      <w:pPr>
        <w:ind w:left="705"/>
        <w:jc w:val="both"/>
        <w:rPr>
          <w:rFonts w:ascii="Franklin Gothic Book" w:hAnsi="Franklin Gothic Book" w:cs="Times New Roman"/>
        </w:rPr>
      </w:pPr>
      <w:r w:rsidRPr="00FC077F">
        <w:rPr>
          <w:rFonts w:ascii="Franklin Gothic Book" w:hAnsi="Franklin Gothic Book" w:cs="Times New Roman"/>
          <w:i/>
        </w:rPr>
        <w:t>It will affect vulnerable individuals and all others that need to navigate the complicated immigration control system. There are also the 3 million European Union citizens that will be applying for settled status in the coming year.</w:t>
      </w:r>
      <w:r w:rsidRPr="00FC077F">
        <w:rPr>
          <w:rStyle w:val="FootnoteReference"/>
          <w:rFonts w:ascii="Franklin Gothic Book" w:hAnsi="Franklin Gothic Book" w:cs="Times New Roman"/>
          <w:i/>
        </w:rPr>
        <w:footnoteReference w:id="26"/>
      </w:r>
    </w:p>
    <w:p w14:paraId="4E7F9720" w14:textId="77777777" w:rsidR="009B4C49" w:rsidRPr="00FC077F" w:rsidRDefault="009B4C49" w:rsidP="009B4C49">
      <w:pPr>
        <w:jc w:val="both"/>
        <w:rPr>
          <w:rFonts w:ascii="Franklin Gothic Book" w:hAnsi="Franklin Gothic Book"/>
          <w:lang w:val="en-US"/>
        </w:rPr>
      </w:pPr>
      <w:r w:rsidRPr="00FC077F">
        <w:rPr>
          <w:rFonts w:ascii="Franklin Gothic Book" w:hAnsi="Franklin Gothic Book"/>
          <w:lang w:val="en-US"/>
        </w:rPr>
        <w:t xml:space="preserve">The complaint raises concerns about the scale of errors and delays in the immigration system, which include mistakes by immigration authorities concerning the data of third country nationals, </w:t>
      </w:r>
      <w:r w:rsidRPr="00FC077F">
        <w:rPr>
          <w:rFonts w:ascii="Franklin Gothic Book" w:hAnsi="Franklin Gothic Book"/>
          <w:lang w:val="en-US"/>
        </w:rPr>
        <w:lastRenderedPageBreak/>
        <w:t>as well EU nationals. Some of these errors resulted in some people being wrongly identified as in the UK without leave and included on the list of “disqualified persons” who received letters stating they are liable to removal and must immediately arrange their departure from the country.</w:t>
      </w:r>
      <w:r w:rsidRPr="00FC077F">
        <w:rPr>
          <w:rStyle w:val="FootnoteReference"/>
          <w:rFonts w:ascii="Franklin Gothic Book" w:hAnsi="Franklin Gothic Book"/>
          <w:lang w:val="en-US"/>
        </w:rPr>
        <w:footnoteReference w:id="27"/>
      </w:r>
    </w:p>
    <w:p w14:paraId="0FD59872" w14:textId="77777777" w:rsidR="009B4C49" w:rsidRPr="00FC077F" w:rsidRDefault="009B4C49" w:rsidP="009B4C49">
      <w:pPr>
        <w:pStyle w:val="Default"/>
        <w:jc w:val="both"/>
        <w:rPr>
          <w:rFonts w:cs="Times New Roman"/>
          <w:sz w:val="22"/>
          <w:szCs w:val="22"/>
          <w:lang w:val="en-US"/>
        </w:rPr>
      </w:pPr>
      <w:r w:rsidRPr="00FC077F">
        <w:rPr>
          <w:sz w:val="22"/>
          <w:szCs w:val="22"/>
          <w:lang w:val="en-US"/>
        </w:rPr>
        <w:t>With Brexit approaching, EU nationals must obtain a new “settled” status, which requires engaging with immigration authorities and other data controllers through an as-yet unspecified immigration procedure. There are significant concerns that EU nationals will join third country nationals on the lower rung of a two-tiered system whereby non-UK citizens are denied their fundamental data protection rights, with the risk of possible deportation, due to errors committed by immigration authorities charged with processing millions of applications by people at risk of losing their status due to Brexit.</w:t>
      </w:r>
    </w:p>
    <w:p w14:paraId="1045FD85" w14:textId="77777777" w:rsidR="009B4C49" w:rsidRPr="00FC077F" w:rsidRDefault="009B4C49" w:rsidP="009B4C49">
      <w:pPr>
        <w:pStyle w:val="Default"/>
        <w:jc w:val="both"/>
        <w:rPr>
          <w:rFonts w:cs="Times New Roman"/>
          <w:sz w:val="22"/>
          <w:szCs w:val="22"/>
        </w:rPr>
      </w:pPr>
    </w:p>
    <w:p w14:paraId="681BA251" w14:textId="77777777" w:rsidR="009B4C49" w:rsidRPr="00FC077F" w:rsidRDefault="009B4C49" w:rsidP="009B4C49">
      <w:pPr>
        <w:pStyle w:val="Default"/>
        <w:jc w:val="both"/>
        <w:rPr>
          <w:rFonts w:cs="Times New Roman"/>
          <w:sz w:val="22"/>
          <w:szCs w:val="22"/>
        </w:rPr>
      </w:pPr>
      <w:r w:rsidRPr="00FC077F">
        <w:rPr>
          <w:rFonts w:cs="Times New Roman"/>
          <w:sz w:val="22"/>
          <w:szCs w:val="22"/>
        </w:rPr>
        <w:t>There are also significant concerns about the lack of safeguards</w:t>
      </w:r>
      <w:r w:rsidR="00057460">
        <w:rPr>
          <w:rFonts w:cs="Times New Roman"/>
          <w:sz w:val="22"/>
          <w:szCs w:val="22"/>
        </w:rPr>
        <w:t xml:space="preserve"> in the DPA about the exemption</w:t>
      </w:r>
      <w:r w:rsidRPr="00FC077F">
        <w:rPr>
          <w:rFonts w:cs="Times New Roman"/>
          <w:sz w:val="22"/>
          <w:szCs w:val="22"/>
        </w:rPr>
        <w:t xml:space="preserve">, including </w:t>
      </w:r>
      <w:r w:rsidR="00D55A23">
        <w:rPr>
          <w:rFonts w:cs="Times New Roman"/>
          <w:sz w:val="22"/>
          <w:szCs w:val="22"/>
        </w:rPr>
        <w:t xml:space="preserve">the absence of any </w:t>
      </w:r>
      <w:r w:rsidRPr="00FC077F">
        <w:rPr>
          <w:rFonts w:cs="Times New Roman"/>
          <w:sz w:val="22"/>
          <w:szCs w:val="22"/>
        </w:rPr>
        <w:t xml:space="preserve">guidelines defining how the measure will be implemented. These concerns are well summarised by the intervention of MP Yvette Cooper in the House of Commons: </w:t>
      </w:r>
    </w:p>
    <w:p w14:paraId="072EF6D0" w14:textId="77777777" w:rsidR="009B4C49" w:rsidRPr="00FC077F" w:rsidRDefault="009B4C49" w:rsidP="009B4C49">
      <w:pPr>
        <w:pStyle w:val="Default"/>
        <w:jc w:val="both"/>
        <w:rPr>
          <w:rFonts w:cs="Times New Roman"/>
          <w:sz w:val="22"/>
          <w:szCs w:val="22"/>
        </w:rPr>
      </w:pPr>
    </w:p>
    <w:p w14:paraId="2FBF46EE" w14:textId="77777777" w:rsidR="009B4C49" w:rsidRPr="00FC077F" w:rsidRDefault="009B4C49" w:rsidP="009B4C49">
      <w:pPr>
        <w:pStyle w:val="Default"/>
        <w:ind w:left="705"/>
        <w:jc w:val="both"/>
        <w:rPr>
          <w:rFonts w:cs="Times New Roman"/>
          <w:i/>
          <w:sz w:val="22"/>
          <w:szCs w:val="22"/>
        </w:rPr>
      </w:pPr>
      <w:r w:rsidRPr="00FC077F">
        <w:rPr>
          <w:rFonts w:cs="Times New Roman"/>
          <w:i/>
          <w:sz w:val="22"/>
          <w:szCs w:val="22"/>
        </w:rPr>
        <w:t>This exemption allows the Home Office to refuse subject access requests in immigration cases and to put in place data sharing without proper accountability in any case where it meets the maintenance of effective immigration control or the investigation or detection of activities that would undermine the maintenance of effective control, and yet, repeatedly, we have had no explanation from Ministers as to what effective immigration control means. That is because, in truth, it is immensely broad. It could mean meeting the net migration target, sustaining the hostile environment and enabling a deportation that the Home Office thinks is justified, even if in practice it has made a mistake. It could mean decisions being taken by immigration removal centres, G4S, Serco or any of the many private companies contracted by the Home Office to deliver its so-called immigration control.</w:t>
      </w:r>
    </w:p>
    <w:p w14:paraId="5810E93C" w14:textId="77777777" w:rsidR="009B4C49" w:rsidRPr="00FC077F" w:rsidRDefault="009B4C49" w:rsidP="009B4C49">
      <w:pPr>
        <w:pStyle w:val="Default"/>
        <w:ind w:left="705"/>
        <w:jc w:val="both"/>
        <w:rPr>
          <w:rFonts w:cs="Times New Roman"/>
          <w:i/>
          <w:sz w:val="22"/>
          <w:szCs w:val="22"/>
        </w:rPr>
      </w:pPr>
    </w:p>
    <w:p w14:paraId="1BD0754C" w14:textId="77777777" w:rsidR="009B4C49" w:rsidRDefault="009B4C49" w:rsidP="009B4C49">
      <w:pPr>
        <w:pStyle w:val="Default"/>
        <w:ind w:left="705"/>
        <w:jc w:val="both"/>
        <w:rPr>
          <w:rFonts w:cs="Times New Roman"/>
          <w:i/>
          <w:sz w:val="22"/>
          <w:szCs w:val="22"/>
        </w:rPr>
      </w:pPr>
      <w:r w:rsidRPr="00FC077F">
        <w:rPr>
          <w:rFonts w:cs="Times New Roman"/>
          <w:i/>
          <w:sz w:val="22"/>
          <w:szCs w:val="22"/>
        </w:rPr>
        <w:t xml:space="preserve">The Home Office has made an objective of reducing the number of appeals and removing the right to appeal in immigration cases. If a subject access request makes an appeal more likely, why does preventing that [subject access request] </w:t>
      </w:r>
      <w:proofErr w:type="gramStart"/>
      <w:r w:rsidRPr="00FC077F">
        <w:rPr>
          <w:rFonts w:cs="Times New Roman"/>
          <w:i/>
          <w:sz w:val="22"/>
          <w:szCs w:val="22"/>
        </w:rPr>
        <w:t>in order to</w:t>
      </w:r>
      <w:proofErr w:type="gramEnd"/>
      <w:r w:rsidRPr="00FC077F">
        <w:rPr>
          <w:rFonts w:cs="Times New Roman"/>
          <w:i/>
          <w:sz w:val="22"/>
          <w:szCs w:val="22"/>
        </w:rPr>
        <w:t xml:space="preserve"> prevent a potential appeal not count as immigration control under the Home Office’s definition? […]</w:t>
      </w:r>
      <w:r w:rsidR="003F62CB" w:rsidRPr="003F62CB">
        <w:rPr>
          <w:rStyle w:val="FootnoteReference"/>
          <w:rFonts w:cs="Times New Roman"/>
          <w:sz w:val="22"/>
          <w:szCs w:val="22"/>
        </w:rPr>
        <w:footnoteReference w:id="28"/>
      </w:r>
    </w:p>
    <w:p w14:paraId="27309790" w14:textId="77777777" w:rsidR="003F62CB" w:rsidRDefault="003F62CB" w:rsidP="009B4C49">
      <w:pPr>
        <w:pStyle w:val="Default"/>
        <w:ind w:left="705"/>
        <w:jc w:val="both"/>
        <w:rPr>
          <w:color w:val="FF0000"/>
          <w:sz w:val="22"/>
          <w:szCs w:val="22"/>
        </w:rPr>
      </w:pPr>
    </w:p>
    <w:p w14:paraId="0E333693" w14:textId="77777777" w:rsidR="003F62CB" w:rsidRPr="003F62CB" w:rsidRDefault="003F62CB" w:rsidP="003F62CB">
      <w:pPr>
        <w:pStyle w:val="Default"/>
        <w:jc w:val="both"/>
        <w:rPr>
          <w:color w:val="auto"/>
          <w:sz w:val="22"/>
          <w:szCs w:val="22"/>
        </w:rPr>
      </w:pPr>
      <w:r>
        <w:rPr>
          <w:color w:val="auto"/>
          <w:sz w:val="22"/>
          <w:szCs w:val="22"/>
        </w:rPr>
        <w:t xml:space="preserve">Although derogations under the “immigration exemption” are limited to data subject rights, they nonetheless represent an unjustifiable breach of fundamental data protection rights, with sweeping </w:t>
      </w:r>
      <w:r w:rsidR="00D55A23">
        <w:rPr>
          <w:color w:val="auto"/>
          <w:sz w:val="22"/>
          <w:szCs w:val="22"/>
        </w:rPr>
        <w:t xml:space="preserve">and potentially profound </w:t>
      </w:r>
      <w:r>
        <w:rPr>
          <w:color w:val="auto"/>
          <w:sz w:val="22"/>
          <w:szCs w:val="22"/>
        </w:rPr>
        <w:t xml:space="preserve">implications for a broad range and number of data subject. </w:t>
      </w:r>
      <w:proofErr w:type="gramStart"/>
      <w:r w:rsidR="00D55A23">
        <w:rPr>
          <w:color w:val="auto"/>
          <w:sz w:val="22"/>
          <w:szCs w:val="22"/>
        </w:rPr>
        <w:t>In spite of</w:t>
      </w:r>
      <w:proofErr w:type="gramEnd"/>
      <w:r w:rsidR="00D55A23">
        <w:rPr>
          <w:color w:val="auto"/>
          <w:sz w:val="22"/>
          <w:szCs w:val="22"/>
        </w:rPr>
        <w:t xml:space="preserve"> repeated concerns raised about its legality and likely harmful effects, t</w:t>
      </w:r>
      <w:r>
        <w:rPr>
          <w:color w:val="auto"/>
          <w:sz w:val="22"/>
          <w:szCs w:val="22"/>
        </w:rPr>
        <w:t xml:space="preserve">his measure </w:t>
      </w:r>
      <w:r w:rsidR="00D55A23">
        <w:rPr>
          <w:color w:val="auto"/>
          <w:sz w:val="22"/>
          <w:szCs w:val="22"/>
        </w:rPr>
        <w:t>was</w:t>
      </w:r>
      <w:r>
        <w:rPr>
          <w:color w:val="auto"/>
          <w:sz w:val="22"/>
          <w:szCs w:val="22"/>
        </w:rPr>
        <w:t xml:space="preserve"> adopted with </w:t>
      </w:r>
      <w:r w:rsidR="00D55A23">
        <w:rPr>
          <w:color w:val="auto"/>
          <w:sz w:val="22"/>
          <w:szCs w:val="22"/>
        </w:rPr>
        <w:t xml:space="preserve">on the basis of a feeble </w:t>
      </w:r>
      <w:r>
        <w:rPr>
          <w:color w:val="auto"/>
          <w:sz w:val="22"/>
          <w:szCs w:val="22"/>
        </w:rPr>
        <w:t xml:space="preserve">justification, but with no effort to </w:t>
      </w:r>
      <w:r w:rsidR="00F821E3">
        <w:rPr>
          <w:color w:val="auto"/>
          <w:sz w:val="22"/>
          <w:szCs w:val="22"/>
        </w:rPr>
        <w:t xml:space="preserve">demonstrate with evidence </w:t>
      </w:r>
      <w:r w:rsidR="00D55A23">
        <w:rPr>
          <w:color w:val="auto"/>
          <w:sz w:val="22"/>
          <w:szCs w:val="22"/>
        </w:rPr>
        <w:t xml:space="preserve">that it is </w:t>
      </w:r>
      <w:r w:rsidR="00F821E3">
        <w:rPr>
          <w:color w:val="auto"/>
          <w:sz w:val="22"/>
          <w:szCs w:val="22"/>
        </w:rPr>
        <w:t xml:space="preserve">necessary and proportionate, as required in a democratic society. </w:t>
      </w:r>
    </w:p>
    <w:p w14:paraId="5DC14EE9" w14:textId="77777777" w:rsidR="009B4C49" w:rsidRPr="00FC077F" w:rsidRDefault="009B4C49" w:rsidP="009B4C49">
      <w:pPr>
        <w:pStyle w:val="Default"/>
        <w:jc w:val="both"/>
        <w:rPr>
          <w:sz w:val="22"/>
          <w:szCs w:val="22"/>
        </w:rPr>
      </w:pPr>
    </w:p>
    <w:p w14:paraId="5BFD329C" w14:textId="77777777" w:rsidR="00477CE4" w:rsidRPr="00C95DBE" w:rsidRDefault="00F821E3" w:rsidP="00666277">
      <w:pPr>
        <w:pStyle w:val="Heading4"/>
      </w:pPr>
      <w:bookmarkStart w:id="31" w:name="_Toc10494473"/>
      <w:r w:rsidRPr="00C95DBE">
        <w:t>In the context of the UK’s current “hostile environment”, t</w:t>
      </w:r>
      <w:r w:rsidR="00477CE4" w:rsidRPr="00C95DBE">
        <w:t>he “</w:t>
      </w:r>
      <w:r w:rsidR="00E3079D" w:rsidRPr="00C95DBE">
        <w:t>immigration control exemption</w:t>
      </w:r>
      <w:r w:rsidR="00477CE4" w:rsidRPr="00C95DBE">
        <w:t xml:space="preserve">” </w:t>
      </w:r>
      <w:r w:rsidRPr="00C95DBE">
        <w:t xml:space="preserve">risks </w:t>
      </w:r>
      <w:r w:rsidR="00D24B32">
        <w:t>supporting further</w:t>
      </w:r>
      <w:r w:rsidR="00C95DBE">
        <w:t xml:space="preserve"> </w:t>
      </w:r>
      <w:r w:rsidR="00477CE4" w:rsidRPr="00C95DBE">
        <w:t>violat</w:t>
      </w:r>
      <w:r w:rsidR="00C95DBE">
        <w:t>ions of</w:t>
      </w:r>
      <w:r w:rsidR="00477CE4" w:rsidRPr="00C95DBE">
        <w:t xml:space="preserve"> the fundamental rights and freedoms of affected individuals</w:t>
      </w:r>
      <w:bookmarkEnd w:id="31"/>
    </w:p>
    <w:p w14:paraId="1B8B6F14" w14:textId="77777777" w:rsidR="00C95DBE" w:rsidRPr="00C95DBE" w:rsidRDefault="00C95DBE" w:rsidP="00C95DBE">
      <w:pPr>
        <w:pStyle w:val="NormalWeb"/>
        <w:spacing w:before="0" w:beforeAutospacing="0" w:after="240" w:afterAutospacing="0"/>
        <w:jc w:val="both"/>
        <w:rPr>
          <w:rFonts w:ascii="Franklin Gothic Book" w:hAnsi="Franklin Gothic Book"/>
          <w:iCs/>
          <w:color w:val="000000"/>
          <w:sz w:val="22"/>
          <w:szCs w:val="22"/>
        </w:rPr>
      </w:pPr>
      <w:r w:rsidRPr="00C95DBE">
        <w:rPr>
          <w:rFonts w:ascii="Franklin Gothic Book" w:hAnsi="Franklin Gothic Book"/>
          <w:sz w:val="22"/>
          <w:szCs w:val="22"/>
        </w:rPr>
        <w:t>Article 23 GDPR requires that deviations from the GDPR’s rules “</w:t>
      </w:r>
      <w:proofErr w:type="gramStart"/>
      <w:r w:rsidRPr="00C95DBE">
        <w:rPr>
          <w:rFonts w:ascii="Franklin Gothic Book" w:hAnsi="Franklin Gothic Book"/>
          <w:i/>
          <w:sz w:val="22"/>
          <w:szCs w:val="22"/>
        </w:rPr>
        <w:t>respect[</w:t>
      </w:r>
      <w:proofErr w:type="gramEnd"/>
      <w:r w:rsidRPr="00C95DBE">
        <w:rPr>
          <w:rFonts w:ascii="Franklin Gothic Book" w:hAnsi="Franklin Gothic Book"/>
          <w:i/>
          <w:sz w:val="22"/>
          <w:szCs w:val="22"/>
        </w:rPr>
        <w:t>] the essence of fundamental rights and freedoms</w:t>
      </w:r>
      <w:r w:rsidRPr="00C95DBE">
        <w:rPr>
          <w:rFonts w:ascii="Franklin Gothic Book" w:hAnsi="Franklin Gothic Book"/>
          <w:sz w:val="22"/>
          <w:szCs w:val="22"/>
        </w:rPr>
        <w:t>”.</w:t>
      </w:r>
    </w:p>
    <w:p w14:paraId="4F311507" w14:textId="77777777" w:rsidR="00A75BD9" w:rsidRDefault="00F75505" w:rsidP="00A75BD9">
      <w:pPr>
        <w:pStyle w:val="NormalWeb"/>
        <w:spacing w:before="0" w:beforeAutospacing="0" w:after="240" w:afterAutospacing="0"/>
        <w:jc w:val="both"/>
        <w:rPr>
          <w:rFonts w:ascii="Franklin Gothic Book" w:hAnsi="Franklin Gothic Book"/>
          <w:sz w:val="22"/>
          <w:szCs w:val="22"/>
        </w:rPr>
      </w:pPr>
      <w:r w:rsidRPr="00C95DBE">
        <w:rPr>
          <w:rFonts w:ascii="Franklin Gothic Book" w:hAnsi="Franklin Gothic Book"/>
          <w:iCs/>
          <w:color w:val="000000"/>
          <w:sz w:val="22"/>
          <w:szCs w:val="22"/>
        </w:rPr>
        <w:t xml:space="preserve">Under the </w:t>
      </w:r>
      <w:r w:rsidR="00D55A23">
        <w:rPr>
          <w:rFonts w:ascii="Franklin Gothic Book" w:hAnsi="Franklin Gothic Book"/>
          <w:iCs/>
          <w:color w:val="000000"/>
          <w:sz w:val="22"/>
          <w:szCs w:val="22"/>
        </w:rPr>
        <w:t xml:space="preserve">“immigration control </w:t>
      </w:r>
      <w:r w:rsidRPr="00C95DBE">
        <w:rPr>
          <w:rFonts w:ascii="Franklin Gothic Book" w:hAnsi="Franklin Gothic Book"/>
          <w:iCs/>
          <w:color w:val="000000"/>
          <w:sz w:val="22"/>
          <w:szCs w:val="22"/>
        </w:rPr>
        <w:t>exemption</w:t>
      </w:r>
      <w:r w:rsidR="00D55A23">
        <w:rPr>
          <w:rFonts w:ascii="Franklin Gothic Book" w:hAnsi="Franklin Gothic Book"/>
          <w:iCs/>
          <w:color w:val="000000"/>
          <w:sz w:val="22"/>
          <w:szCs w:val="22"/>
        </w:rPr>
        <w:t>”</w:t>
      </w:r>
      <w:r w:rsidRPr="00C95DBE">
        <w:rPr>
          <w:rFonts w:ascii="Franklin Gothic Book" w:hAnsi="Franklin Gothic Book"/>
          <w:iCs/>
          <w:color w:val="000000"/>
          <w:sz w:val="22"/>
          <w:szCs w:val="22"/>
        </w:rPr>
        <w:t xml:space="preserve">, derogation from Article 5 GDPR is only with respect to </w:t>
      </w:r>
      <w:r w:rsidR="00D55A23">
        <w:rPr>
          <w:rFonts w:ascii="Franklin Gothic Book" w:hAnsi="Franklin Gothic Book"/>
          <w:iCs/>
          <w:color w:val="000000"/>
          <w:sz w:val="22"/>
          <w:szCs w:val="22"/>
        </w:rPr>
        <w:t>data subject</w:t>
      </w:r>
      <w:r w:rsidRPr="00C95DBE">
        <w:rPr>
          <w:rFonts w:ascii="Franklin Gothic Book" w:hAnsi="Franklin Gothic Book"/>
          <w:iCs/>
          <w:color w:val="000000"/>
          <w:sz w:val="22"/>
          <w:szCs w:val="22"/>
        </w:rPr>
        <w:t xml:space="preserve"> rights and </w:t>
      </w:r>
      <w:r w:rsidRPr="00C95DBE">
        <w:rPr>
          <w:rFonts w:ascii="Franklin Gothic Book" w:hAnsi="Franklin Gothic Book"/>
          <w:i/>
          <w:iCs/>
          <w:color w:val="000000"/>
          <w:sz w:val="22"/>
          <w:szCs w:val="22"/>
        </w:rPr>
        <w:t>does not</w:t>
      </w:r>
      <w:r w:rsidRPr="00C95DBE">
        <w:rPr>
          <w:rFonts w:ascii="Franklin Gothic Book" w:hAnsi="Franklin Gothic Book"/>
          <w:iCs/>
          <w:color w:val="000000"/>
          <w:sz w:val="22"/>
          <w:szCs w:val="22"/>
        </w:rPr>
        <w:t xml:space="preserve"> extend, for instance, to the repurposing of personal data for immigration control purposes. Existing measures adopted </w:t>
      </w:r>
      <w:r w:rsidR="00C95DBE" w:rsidRPr="00C95DBE">
        <w:rPr>
          <w:rFonts w:ascii="Franklin Gothic Book" w:hAnsi="Franklin Gothic Book"/>
          <w:iCs/>
          <w:color w:val="000000"/>
          <w:sz w:val="22"/>
          <w:szCs w:val="22"/>
        </w:rPr>
        <w:t>within</w:t>
      </w:r>
      <w:r w:rsidRPr="00C95DBE">
        <w:rPr>
          <w:rFonts w:ascii="Franklin Gothic Book" w:hAnsi="Franklin Gothic Book"/>
          <w:iCs/>
          <w:color w:val="000000"/>
          <w:sz w:val="22"/>
          <w:szCs w:val="22"/>
        </w:rPr>
        <w:t xml:space="preserve"> the framework of the UK’s “hostile environment” do, however, engage in such repurposing of personal data. The “immigration</w:t>
      </w:r>
      <w:r w:rsidR="00D55A23">
        <w:rPr>
          <w:rFonts w:ascii="Franklin Gothic Book" w:hAnsi="Franklin Gothic Book"/>
          <w:iCs/>
          <w:color w:val="000000"/>
          <w:sz w:val="22"/>
          <w:szCs w:val="22"/>
        </w:rPr>
        <w:t xml:space="preserve"> control</w:t>
      </w:r>
      <w:r w:rsidRPr="00C95DBE">
        <w:rPr>
          <w:rFonts w:ascii="Franklin Gothic Book" w:hAnsi="Franklin Gothic Book"/>
          <w:iCs/>
          <w:color w:val="000000"/>
          <w:sz w:val="22"/>
          <w:szCs w:val="22"/>
        </w:rPr>
        <w:t xml:space="preserve"> exemption” risks </w:t>
      </w:r>
      <w:r w:rsidR="00D55A23">
        <w:rPr>
          <w:rFonts w:ascii="Franklin Gothic Book" w:hAnsi="Franklin Gothic Book"/>
          <w:iCs/>
          <w:color w:val="000000"/>
          <w:sz w:val="22"/>
          <w:szCs w:val="22"/>
        </w:rPr>
        <w:t>reinforcing</w:t>
      </w:r>
      <w:r w:rsidRPr="00C95DBE">
        <w:rPr>
          <w:rFonts w:ascii="Franklin Gothic Book" w:hAnsi="Franklin Gothic Book"/>
          <w:iCs/>
          <w:color w:val="000000"/>
          <w:sz w:val="22"/>
          <w:szCs w:val="22"/>
        </w:rPr>
        <w:t xml:space="preserve"> such measures, by promoting their secrecy and making it harder to challenge the legality of </w:t>
      </w:r>
      <w:r w:rsidR="00C95DBE">
        <w:rPr>
          <w:rFonts w:ascii="Franklin Gothic Book" w:hAnsi="Franklin Gothic Book"/>
          <w:iCs/>
          <w:color w:val="000000"/>
          <w:sz w:val="22"/>
          <w:szCs w:val="22"/>
        </w:rPr>
        <w:t xml:space="preserve">efforts to </w:t>
      </w:r>
      <w:r w:rsidRPr="00C95DBE">
        <w:rPr>
          <w:rFonts w:ascii="Franklin Gothic Book" w:hAnsi="Franklin Gothic Book"/>
          <w:iCs/>
          <w:color w:val="000000"/>
          <w:sz w:val="22"/>
          <w:szCs w:val="22"/>
        </w:rPr>
        <w:t>process personal data for immigration purposes, by public and private actors.</w:t>
      </w:r>
      <w:r w:rsidR="00C95DBE">
        <w:rPr>
          <w:rFonts w:ascii="Franklin Gothic Book" w:hAnsi="Franklin Gothic Book"/>
          <w:iCs/>
          <w:color w:val="000000"/>
          <w:sz w:val="22"/>
          <w:szCs w:val="22"/>
        </w:rPr>
        <w:t xml:space="preserve"> This has significant implications for the fundamental rights of affected individuals</w:t>
      </w:r>
      <w:r w:rsidR="00A75BD9" w:rsidRPr="00C95DBE">
        <w:rPr>
          <w:rFonts w:ascii="Franklin Gothic Book" w:hAnsi="Franklin Gothic Book"/>
          <w:iCs/>
          <w:color w:val="000000"/>
          <w:sz w:val="22"/>
          <w:szCs w:val="22"/>
        </w:rPr>
        <w:t xml:space="preserve">, </w:t>
      </w:r>
      <w:r w:rsidR="00A75BD9" w:rsidRPr="00C95DBE">
        <w:rPr>
          <w:rFonts w:ascii="Franklin Gothic Book" w:hAnsi="Franklin Gothic Book"/>
          <w:iCs/>
          <w:color w:val="000000"/>
          <w:sz w:val="22"/>
          <w:szCs w:val="22"/>
        </w:rPr>
        <w:lastRenderedPageBreak/>
        <w:t xml:space="preserve">including </w:t>
      </w:r>
      <w:r w:rsidR="00C95DBE">
        <w:rPr>
          <w:rFonts w:ascii="Franklin Gothic Book" w:hAnsi="Franklin Gothic Book"/>
          <w:sz w:val="22"/>
          <w:szCs w:val="22"/>
        </w:rPr>
        <w:t>the</w:t>
      </w:r>
      <w:r w:rsidR="00A75BD9" w:rsidRPr="00C95DBE">
        <w:rPr>
          <w:rFonts w:ascii="Franklin Gothic Book" w:hAnsi="Franklin Gothic Book"/>
          <w:sz w:val="22"/>
          <w:szCs w:val="22"/>
        </w:rPr>
        <w:t xml:space="preserve"> rights to education, health care, housing, access to the justice system and to an effective remedy, and </w:t>
      </w:r>
      <w:r w:rsidR="00C95DBE">
        <w:rPr>
          <w:rFonts w:ascii="Franklin Gothic Book" w:hAnsi="Franklin Gothic Book"/>
          <w:sz w:val="22"/>
          <w:szCs w:val="22"/>
        </w:rPr>
        <w:t xml:space="preserve">to </w:t>
      </w:r>
      <w:r w:rsidR="00A75BD9" w:rsidRPr="00C95DBE">
        <w:rPr>
          <w:rFonts w:ascii="Franklin Gothic Book" w:hAnsi="Franklin Gothic Book"/>
          <w:sz w:val="22"/>
          <w:szCs w:val="22"/>
        </w:rPr>
        <w:t>non-discrimination.</w:t>
      </w:r>
      <w:r w:rsidR="00E13758">
        <w:rPr>
          <w:rStyle w:val="FootnoteReference"/>
          <w:rFonts w:ascii="Franklin Gothic Book" w:hAnsi="Franklin Gothic Book"/>
          <w:sz w:val="22"/>
          <w:szCs w:val="22"/>
        </w:rPr>
        <w:footnoteReference w:id="29"/>
      </w:r>
      <w:r w:rsidR="00A75BD9" w:rsidRPr="00FC077F">
        <w:rPr>
          <w:rFonts w:ascii="Franklin Gothic Book" w:hAnsi="Franklin Gothic Book"/>
          <w:sz w:val="22"/>
          <w:szCs w:val="22"/>
        </w:rPr>
        <w:t xml:space="preserve">  </w:t>
      </w:r>
    </w:p>
    <w:p w14:paraId="29008151" w14:textId="77777777" w:rsidR="00C95DBE" w:rsidRPr="00C95DBE" w:rsidRDefault="00C95DBE" w:rsidP="00C95DBE">
      <w:pPr>
        <w:pStyle w:val="Heading5"/>
      </w:pPr>
      <w:r>
        <w:t>The “hostile environment”</w:t>
      </w:r>
    </w:p>
    <w:p w14:paraId="136DB6C0" w14:textId="77777777" w:rsidR="00580967" w:rsidRPr="00FC077F" w:rsidRDefault="00580967" w:rsidP="00580967">
      <w:pPr>
        <w:pStyle w:val="NormalWeb"/>
        <w:spacing w:before="0" w:beforeAutospacing="0" w:after="240" w:afterAutospacing="0"/>
        <w:jc w:val="both"/>
        <w:rPr>
          <w:rStyle w:val="Emphasis"/>
          <w:rFonts w:ascii="Franklin Gothic Book" w:hAnsi="Franklin Gothic Book"/>
          <w:sz w:val="22"/>
          <w:szCs w:val="22"/>
        </w:rPr>
      </w:pPr>
      <w:r w:rsidRPr="00FC077F">
        <w:rPr>
          <w:rStyle w:val="Emphasis"/>
          <w:rFonts w:ascii="Franklin Gothic Book" w:hAnsi="Franklin Gothic Book"/>
          <w:i w:val="0"/>
          <w:color w:val="000000"/>
          <w:sz w:val="22"/>
          <w:szCs w:val="22"/>
        </w:rPr>
        <w:t xml:space="preserve">In 2010, the UK adopted a policy aimed at creating a “hostile environment” for people without indefinite leave to remain in the country. This policy </w:t>
      </w:r>
      <w:r w:rsidR="00C95DBE">
        <w:rPr>
          <w:rStyle w:val="Emphasis"/>
          <w:rFonts w:ascii="Franklin Gothic Book" w:hAnsi="Franklin Gothic Book"/>
          <w:i w:val="0"/>
          <w:color w:val="000000"/>
          <w:sz w:val="22"/>
          <w:szCs w:val="22"/>
        </w:rPr>
        <w:t xml:space="preserve">has </w:t>
      </w:r>
      <w:r w:rsidRPr="00FC077F">
        <w:rPr>
          <w:rStyle w:val="Emphasis"/>
          <w:rFonts w:ascii="Franklin Gothic Book" w:hAnsi="Franklin Gothic Book"/>
          <w:i w:val="0"/>
          <w:color w:val="000000"/>
          <w:sz w:val="22"/>
          <w:szCs w:val="22"/>
        </w:rPr>
        <w:t>manifested itself in successive amendments to the Immigration Act, which, among other things, created sanctions for landlords who rent to undocumented persons, restricted the ability of people who are undocumented to obtain driver licenses and bank accounts, and introduced charging for secondary health care for people who are not “ordinarily resident” in the UK.</w:t>
      </w:r>
      <w:r w:rsidRPr="00FC077F">
        <w:rPr>
          <w:rStyle w:val="FootnoteReference"/>
          <w:rFonts w:ascii="Franklin Gothic Book" w:hAnsi="Franklin Gothic Book"/>
          <w:iCs/>
          <w:color w:val="000000"/>
          <w:sz w:val="22"/>
          <w:szCs w:val="22"/>
        </w:rPr>
        <w:footnoteReference w:id="30"/>
      </w:r>
      <w:r w:rsidRPr="00FC077F">
        <w:rPr>
          <w:rStyle w:val="Emphasis"/>
          <w:rFonts w:ascii="Franklin Gothic Book" w:hAnsi="Franklin Gothic Book"/>
          <w:i w:val="0"/>
          <w:color w:val="000000"/>
          <w:sz w:val="22"/>
          <w:szCs w:val="22"/>
        </w:rPr>
        <w:t xml:space="preserve"> </w:t>
      </w:r>
      <w:r w:rsidR="0060238E" w:rsidRPr="00FC077F">
        <w:rPr>
          <w:rStyle w:val="Emphasis"/>
          <w:rFonts w:ascii="Franklin Gothic Book" w:hAnsi="Franklin Gothic Book"/>
          <w:i w:val="0"/>
          <w:color w:val="000000"/>
          <w:sz w:val="22"/>
          <w:szCs w:val="22"/>
        </w:rPr>
        <w:t xml:space="preserve">The following examples </w:t>
      </w:r>
      <w:r w:rsidR="00295AEB" w:rsidRPr="00FC077F">
        <w:rPr>
          <w:rStyle w:val="Emphasis"/>
          <w:rFonts w:ascii="Franklin Gothic Book" w:hAnsi="Franklin Gothic Book"/>
          <w:i w:val="0"/>
          <w:color w:val="000000"/>
          <w:sz w:val="22"/>
          <w:szCs w:val="22"/>
        </w:rPr>
        <w:t>are</w:t>
      </w:r>
      <w:r w:rsidR="0060238E" w:rsidRPr="00FC077F">
        <w:rPr>
          <w:rStyle w:val="Emphasis"/>
          <w:rFonts w:ascii="Franklin Gothic Book" w:hAnsi="Franklin Gothic Book"/>
          <w:i w:val="0"/>
          <w:color w:val="000000"/>
          <w:sz w:val="22"/>
          <w:szCs w:val="22"/>
        </w:rPr>
        <w:t xml:space="preserve"> illustrative of the polic</w:t>
      </w:r>
      <w:r w:rsidR="00295AEB" w:rsidRPr="00FC077F">
        <w:rPr>
          <w:rStyle w:val="Emphasis"/>
          <w:rFonts w:ascii="Franklin Gothic Book" w:hAnsi="Franklin Gothic Book"/>
          <w:i w:val="0"/>
          <w:color w:val="000000"/>
          <w:sz w:val="22"/>
          <w:szCs w:val="22"/>
        </w:rPr>
        <w:t>y</w:t>
      </w:r>
      <w:r w:rsidR="0060238E" w:rsidRPr="00FC077F">
        <w:rPr>
          <w:rStyle w:val="Emphasis"/>
          <w:rFonts w:ascii="Franklin Gothic Book" w:hAnsi="Franklin Gothic Book"/>
          <w:i w:val="0"/>
          <w:color w:val="000000"/>
          <w:sz w:val="22"/>
          <w:szCs w:val="22"/>
        </w:rPr>
        <w:t>, and its impact:</w:t>
      </w:r>
    </w:p>
    <w:p w14:paraId="7308B1AC" w14:textId="77777777" w:rsidR="002D0860" w:rsidRPr="00FC077F" w:rsidRDefault="0060238E" w:rsidP="0060238E">
      <w:pPr>
        <w:pStyle w:val="NormalWeb"/>
        <w:numPr>
          <w:ilvl w:val="0"/>
          <w:numId w:val="27"/>
        </w:numPr>
        <w:spacing w:before="0" w:beforeAutospacing="0" w:after="240" w:afterAutospacing="0"/>
        <w:jc w:val="both"/>
        <w:rPr>
          <w:rFonts w:ascii="Franklin Gothic Book" w:hAnsi="Franklin Gothic Book"/>
          <w:sz w:val="22"/>
          <w:szCs w:val="22"/>
        </w:rPr>
      </w:pPr>
      <w:r w:rsidRPr="00FC077F">
        <w:rPr>
          <w:rFonts w:ascii="Franklin Gothic Book" w:hAnsi="Franklin Gothic Book"/>
          <w:sz w:val="22"/>
          <w:szCs w:val="22"/>
        </w:rPr>
        <w:t>The Department of</w:t>
      </w:r>
      <w:r w:rsidR="002D0860" w:rsidRPr="00FC077F">
        <w:rPr>
          <w:rFonts w:ascii="Franklin Gothic Book" w:hAnsi="Franklin Gothic Book"/>
          <w:sz w:val="22"/>
          <w:szCs w:val="22"/>
        </w:rPr>
        <w:t xml:space="preserve"> Education has an agreement to share data from the National Pupil Database, collected through the School Census, with the Home Office for immigration enforcement purpose, sharing the personal information of up to 1500 children each month who are believed to be undocumented.</w:t>
      </w:r>
      <w:r w:rsidR="002D0860" w:rsidRPr="00FC077F">
        <w:rPr>
          <w:rStyle w:val="FootnoteReference"/>
          <w:rFonts w:ascii="Franklin Gothic Book" w:hAnsi="Franklin Gothic Book"/>
          <w:sz w:val="22"/>
          <w:szCs w:val="22"/>
        </w:rPr>
        <w:footnoteReference w:id="31"/>
      </w:r>
    </w:p>
    <w:p w14:paraId="2F951017" w14:textId="77777777" w:rsidR="00580967" w:rsidRPr="00C95DBE" w:rsidRDefault="002D0860" w:rsidP="00C95DBE">
      <w:pPr>
        <w:pStyle w:val="NormalWeb"/>
        <w:numPr>
          <w:ilvl w:val="0"/>
          <w:numId w:val="24"/>
        </w:numPr>
        <w:spacing w:before="0" w:beforeAutospacing="0" w:after="240" w:afterAutospacing="0"/>
        <w:jc w:val="both"/>
        <w:rPr>
          <w:rFonts w:ascii="Franklin Gothic Book" w:hAnsi="Franklin Gothic Book"/>
          <w:sz w:val="22"/>
          <w:szCs w:val="22"/>
        </w:rPr>
      </w:pPr>
      <w:r w:rsidRPr="00C95DBE">
        <w:rPr>
          <w:rFonts w:ascii="Franklin Gothic Book" w:hAnsi="Franklin Gothic Book"/>
          <w:sz w:val="22"/>
          <w:szCs w:val="22"/>
        </w:rPr>
        <w:t xml:space="preserve">Over half of police forces have reported sharing data </w:t>
      </w:r>
      <w:r w:rsidR="00D55A23">
        <w:rPr>
          <w:rFonts w:ascii="Franklin Gothic Book" w:hAnsi="Franklin Gothic Book"/>
          <w:sz w:val="22"/>
          <w:szCs w:val="22"/>
        </w:rPr>
        <w:t>about</w:t>
      </w:r>
      <w:r w:rsidRPr="00C95DBE">
        <w:rPr>
          <w:rFonts w:ascii="Franklin Gothic Book" w:hAnsi="Franklin Gothic Book"/>
          <w:sz w:val="22"/>
          <w:szCs w:val="22"/>
        </w:rPr>
        <w:t xml:space="preserve"> victims of crime with the Home Office.</w:t>
      </w:r>
      <w:r w:rsidRPr="00C95DBE">
        <w:rPr>
          <w:rStyle w:val="FootnoteReference"/>
          <w:rFonts w:ascii="Franklin Gothic Book" w:hAnsi="Franklin Gothic Book"/>
          <w:sz w:val="22"/>
          <w:szCs w:val="22"/>
        </w:rPr>
        <w:footnoteReference w:id="32"/>
      </w:r>
      <w:r w:rsidR="00C95DBE" w:rsidRPr="00C95DBE">
        <w:rPr>
          <w:rFonts w:ascii="Franklin Gothic Book" w:hAnsi="Franklin Gothic Book"/>
          <w:sz w:val="22"/>
          <w:szCs w:val="22"/>
        </w:rPr>
        <w:t xml:space="preserve"> </w:t>
      </w:r>
      <w:r w:rsidR="00C95DBE" w:rsidRPr="00C95DBE">
        <w:rPr>
          <w:rFonts w:ascii="Franklin Gothic Book" w:hAnsi="Franklin Gothic Book"/>
          <w:sz w:val="22"/>
          <w:szCs w:val="22"/>
          <w:lang w:val="en-US"/>
        </w:rPr>
        <w:t>In December 2018, the UK National Police Chiefs Council adopted new guidance on the sharing of personal data with immigration enforcement authorities</w:t>
      </w:r>
      <w:r w:rsidR="00D55A23">
        <w:rPr>
          <w:rFonts w:ascii="Franklin Gothic Book" w:hAnsi="Franklin Gothic Book"/>
          <w:sz w:val="22"/>
          <w:szCs w:val="22"/>
          <w:lang w:val="en-US"/>
        </w:rPr>
        <w:t xml:space="preserve"> asserting</w:t>
      </w:r>
      <w:r w:rsidR="00C95DBE" w:rsidRPr="00C95DBE">
        <w:rPr>
          <w:rFonts w:ascii="Franklin Gothic Book" w:hAnsi="Franklin Gothic Book"/>
          <w:sz w:val="22"/>
          <w:szCs w:val="22"/>
          <w:lang w:val="en-US"/>
        </w:rPr>
        <w:t xml:space="preserve"> that someone who reports a crime to the police “</w:t>
      </w:r>
      <w:r w:rsidR="00C95DBE" w:rsidRPr="00D55A23">
        <w:rPr>
          <w:rFonts w:ascii="Franklin Gothic Book" w:hAnsi="Franklin Gothic Book"/>
          <w:i/>
          <w:sz w:val="22"/>
          <w:szCs w:val="22"/>
          <w:lang w:val="en-US"/>
        </w:rPr>
        <w:t>will always, first and foremost</w:t>
      </w:r>
      <w:r w:rsidR="00C95DBE" w:rsidRPr="00C95DBE">
        <w:rPr>
          <w:rFonts w:ascii="Franklin Gothic Book" w:hAnsi="Franklin Gothic Book"/>
          <w:sz w:val="22"/>
          <w:szCs w:val="22"/>
          <w:lang w:val="en-US"/>
        </w:rPr>
        <w:t>” be “</w:t>
      </w:r>
      <w:r w:rsidR="00C95DBE" w:rsidRPr="00D55A23">
        <w:rPr>
          <w:rFonts w:ascii="Franklin Gothic Book" w:hAnsi="Franklin Gothic Book"/>
          <w:i/>
          <w:sz w:val="22"/>
          <w:szCs w:val="22"/>
          <w:lang w:val="en-US"/>
        </w:rPr>
        <w:t>treat[ed] as a victim</w:t>
      </w:r>
      <w:r w:rsidR="00C95DBE" w:rsidRPr="00C95DBE">
        <w:rPr>
          <w:rFonts w:ascii="Franklin Gothic Book" w:hAnsi="Franklin Gothic Book"/>
          <w:sz w:val="22"/>
          <w:szCs w:val="22"/>
          <w:lang w:val="en-US"/>
        </w:rPr>
        <w:t>”, and that police will not check a database only to establish a victim’s immigration status</w:t>
      </w:r>
      <w:r w:rsidR="00D55A23">
        <w:rPr>
          <w:rFonts w:ascii="Franklin Gothic Book" w:hAnsi="Franklin Gothic Book"/>
          <w:sz w:val="22"/>
          <w:szCs w:val="22"/>
          <w:lang w:val="en-US"/>
        </w:rPr>
        <w:t>. However,</w:t>
      </w:r>
      <w:r w:rsidR="00C95DBE" w:rsidRPr="00C95DBE">
        <w:rPr>
          <w:rFonts w:ascii="Franklin Gothic Book" w:hAnsi="Franklin Gothic Book"/>
          <w:sz w:val="22"/>
          <w:szCs w:val="22"/>
          <w:lang w:val="en-US"/>
        </w:rPr>
        <w:t xml:space="preserve"> </w:t>
      </w:r>
      <w:r w:rsidR="00D55A23">
        <w:rPr>
          <w:rFonts w:ascii="Franklin Gothic Book" w:hAnsi="Franklin Gothic Book"/>
          <w:sz w:val="22"/>
          <w:szCs w:val="22"/>
          <w:lang w:val="en-US"/>
        </w:rPr>
        <w:t xml:space="preserve">under this policy </w:t>
      </w:r>
      <w:r w:rsidR="00C95DBE" w:rsidRPr="00C95DBE">
        <w:rPr>
          <w:rFonts w:ascii="Franklin Gothic Book" w:hAnsi="Franklin Gothic Book"/>
          <w:sz w:val="22"/>
          <w:szCs w:val="22"/>
          <w:lang w:val="en-US"/>
        </w:rPr>
        <w:t>officers who become of aware of irregular status will not take any action themselves but are still permitted to inform immigration enforcement authorities</w:t>
      </w:r>
      <w:r w:rsidR="00D55A23">
        <w:rPr>
          <w:rFonts w:ascii="Franklin Gothic Book" w:hAnsi="Franklin Gothic Book"/>
          <w:sz w:val="22"/>
          <w:szCs w:val="22"/>
          <w:lang w:val="en-US"/>
        </w:rPr>
        <w:t xml:space="preserve"> of the victim’s irregular status</w:t>
      </w:r>
      <w:r w:rsidR="00C95DBE" w:rsidRPr="00C95DBE">
        <w:rPr>
          <w:rFonts w:ascii="Franklin Gothic Book" w:hAnsi="Franklin Gothic Book"/>
          <w:sz w:val="22"/>
          <w:szCs w:val="22"/>
          <w:lang w:val="en-US"/>
        </w:rPr>
        <w:t>.</w:t>
      </w:r>
      <w:r w:rsidRPr="00FC077F">
        <w:rPr>
          <w:rStyle w:val="FootnoteReference"/>
          <w:rFonts w:ascii="Franklin Gothic Book" w:hAnsi="Franklin Gothic Book"/>
          <w:sz w:val="22"/>
          <w:szCs w:val="22"/>
        </w:rPr>
        <w:footnoteReference w:id="33"/>
      </w:r>
    </w:p>
    <w:p w14:paraId="04971EE5" w14:textId="77777777" w:rsidR="00477CE4" w:rsidRPr="00FC077F" w:rsidRDefault="00580967" w:rsidP="00477CE4">
      <w:pPr>
        <w:pStyle w:val="NormalWeb"/>
        <w:numPr>
          <w:ilvl w:val="0"/>
          <w:numId w:val="24"/>
        </w:numPr>
        <w:spacing w:before="0" w:beforeAutospacing="0" w:after="240" w:afterAutospacing="0"/>
        <w:jc w:val="both"/>
        <w:rPr>
          <w:rFonts w:ascii="Franklin Gothic Book" w:hAnsi="Franklin Gothic Book"/>
          <w:sz w:val="22"/>
          <w:szCs w:val="22"/>
        </w:rPr>
      </w:pPr>
      <w:r w:rsidRPr="00FC077F">
        <w:rPr>
          <w:rFonts w:ascii="Franklin Gothic Book" w:hAnsi="Franklin Gothic Book"/>
          <w:sz w:val="22"/>
          <w:szCs w:val="22"/>
        </w:rPr>
        <w:t>The Home Office, Department of Health and Social Care, and NHS Digital had an agreement allowing the Home Office to use confidential patient records to obtain the addresses of patients suspected of being undocumented. This agreement was suspended on May 2018.</w:t>
      </w:r>
      <w:r w:rsidR="00C16B6C" w:rsidRPr="00FC077F">
        <w:rPr>
          <w:rStyle w:val="FootnoteReference"/>
          <w:rFonts w:ascii="Franklin Gothic Book" w:hAnsi="Franklin Gothic Book"/>
          <w:sz w:val="22"/>
          <w:szCs w:val="22"/>
        </w:rPr>
        <w:footnoteReference w:id="34"/>
      </w:r>
      <w:r w:rsidRPr="00FC077F">
        <w:rPr>
          <w:rFonts w:ascii="Franklin Gothic Book" w:hAnsi="Franklin Gothic Book"/>
          <w:sz w:val="22"/>
          <w:szCs w:val="22"/>
        </w:rPr>
        <w:t xml:space="preserve"> Between January and November 2016, NHS Digital provided the Home Office with the personal data of 5 854 patients.</w:t>
      </w:r>
      <w:r w:rsidRPr="00FC077F">
        <w:rPr>
          <w:rStyle w:val="FootnoteReference"/>
          <w:rFonts w:ascii="Franklin Gothic Book" w:hAnsi="Franklin Gothic Book"/>
          <w:sz w:val="22"/>
          <w:szCs w:val="22"/>
        </w:rPr>
        <w:footnoteReference w:id="35"/>
      </w:r>
      <w:r w:rsidRPr="00FC077F">
        <w:rPr>
          <w:rFonts w:ascii="Franklin Gothic Book" w:hAnsi="Franklin Gothic Book"/>
          <w:sz w:val="22"/>
          <w:szCs w:val="22"/>
        </w:rPr>
        <w:t xml:space="preserve"> </w:t>
      </w:r>
    </w:p>
    <w:p w14:paraId="3488F72E" w14:textId="77777777" w:rsidR="00580967" w:rsidRPr="00FC077F" w:rsidRDefault="00580967" w:rsidP="00580967">
      <w:pPr>
        <w:pStyle w:val="NormalWeb"/>
        <w:spacing w:before="0" w:beforeAutospacing="0" w:after="240" w:afterAutospacing="0"/>
        <w:jc w:val="both"/>
        <w:rPr>
          <w:rStyle w:val="Emphasis"/>
          <w:rFonts w:ascii="Franklin Gothic Book" w:eastAsiaTheme="minorHAnsi" w:hAnsi="Franklin Gothic Book"/>
          <w:sz w:val="22"/>
          <w:szCs w:val="22"/>
        </w:rPr>
      </w:pPr>
      <w:r w:rsidRPr="00FC077F">
        <w:rPr>
          <w:rStyle w:val="Emphasis"/>
          <w:rFonts w:ascii="Franklin Gothic Book" w:hAnsi="Franklin Gothic Book"/>
          <w:i w:val="0"/>
          <w:color w:val="000000"/>
          <w:sz w:val="22"/>
          <w:szCs w:val="22"/>
        </w:rPr>
        <w:lastRenderedPageBreak/>
        <w:t>Civil society actors,</w:t>
      </w:r>
      <w:r w:rsidRPr="00FC077F">
        <w:rPr>
          <w:rStyle w:val="FootnoteReference"/>
          <w:rFonts w:ascii="Franklin Gothic Book" w:hAnsi="Franklin Gothic Book"/>
          <w:iCs/>
          <w:color w:val="000000"/>
          <w:sz w:val="22"/>
          <w:szCs w:val="22"/>
        </w:rPr>
        <w:footnoteReference w:id="36"/>
      </w:r>
      <w:r w:rsidRPr="00FC077F">
        <w:rPr>
          <w:rStyle w:val="Emphasis"/>
          <w:rFonts w:ascii="Franklin Gothic Book" w:hAnsi="Franklin Gothic Book"/>
          <w:i w:val="0"/>
          <w:color w:val="000000"/>
          <w:sz w:val="22"/>
          <w:szCs w:val="22"/>
        </w:rPr>
        <w:t xml:space="preserve"> governmental agencies,</w:t>
      </w:r>
      <w:r w:rsidRPr="00FC077F">
        <w:rPr>
          <w:rStyle w:val="FootnoteReference"/>
          <w:rFonts w:ascii="Franklin Gothic Book" w:hAnsi="Franklin Gothic Book"/>
          <w:iCs/>
          <w:color w:val="000000"/>
          <w:sz w:val="22"/>
          <w:szCs w:val="22"/>
        </w:rPr>
        <w:footnoteReference w:id="37"/>
      </w:r>
      <w:r w:rsidRPr="00FC077F">
        <w:rPr>
          <w:rStyle w:val="Emphasis"/>
          <w:rFonts w:ascii="Franklin Gothic Book" w:hAnsi="Franklin Gothic Book"/>
          <w:i w:val="0"/>
          <w:color w:val="000000"/>
          <w:sz w:val="22"/>
          <w:szCs w:val="22"/>
        </w:rPr>
        <w:t xml:space="preserve"> as well as members of parliament</w:t>
      </w:r>
      <w:r w:rsidRPr="00FC077F">
        <w:rPr>
          <w:rStyle w:val="FootnoteReference"/>
          <w:rFonts w:ascii="Franklin Gothic Book" w:hAnsi="Franklin Gothic Book"/>
          <w:iCs/>
          <w:color w:val="000000"/>
          <w:sz w:val="22"/>
          <w:szCs w:val="22"/>
        </w:rPr>
        <w:footnoteReference w:id="38"/>
      </w:r>
      <w:r w:rsidRPr="00FC077F">
        <w:rPr>
          <w:rStyle w:val="Emphasis"/>
          <w:rFonts w:ascii="Franklin Gothic Book" w:hAnsi="Franklin Gothic Book"/>
          <w:i w:val="0"/>
          <w:color w:val="000000"/>
          <w:sz w:val="22"/>
          <w:szCs w:val="22"/>
        </w:rPr>
        <w:t xml:space="preserve"> have </w:t>
      </w:r>
      <w:r w:rsidR="0039110A">
        <w:rPr>
          <w:rStyle w:val="Emphasis"/>
          <w:rFonts w:ascii="Franklin Gothic Book" w:hAnsi="Franklin Gothic Book"/>
          <w:i w:val="0"/>
          <w:color w:val="000000"/>
          <w:sz w:val="22"/>
          <w:szCs w:val="22"/>
        </w:rPr>
        <w:t xml:space="preserve">repeatedly raised alarms about </w:t>
      </w:r>
      <w:r w:rsidRPr="00FC077F">
        <w:rPr>
          <w:rStyle w:val="Emphasis"/>
          <w:rFonts w:ascii="Franklin Gothic Book" w:hAnsi="Franklin Gothic Book"/>
          <w:i w:val="0"/>
          <w:color w:val="000000"/>
          <w:sz w:val="22"/>
          <w:szCs w:val="22"/>
        </w:rPr>
        <w:t>the effects</w:t>
      </w:r>
      <w:r w:rsidR="0039110A">
        <w:rPr>
          <w:rStyle w:val="Emphasis"/>
          <w:rFonts w:ascii="Franklin Gothic Book" w:hAnsi="Franklin Gothic Book"/>
          <w:i w:val="0"/>
          <w:color w:val="000000"/>
          <w:sz w:val="22"/>
          <w:szCs w:val="22"/>
        </w:rPr>
        <w:t xml:space="preserve"> o</w:t>
      </w:r>
      <w:r w:rsidRPr="00FC077F">
        <w:rPr>
          <w:rStyle w:val="Emphasis"/>
          <w:rFonts w:ascii="Franklin Gothic Book" w:hAnsi="Franklin Gothic Book"/>
          <w:i w:val="0"/>
          <w:color w:val="000000"/>
          <w:sz w:val="22"/>
          <w:szCs w:val="22"/>
        </w:rPr>
        <w:t>f these policies. A June 2018 parliamentary briefing on the impact of the “hostile environment” policy notes:</w:t>
      </w:r>
    </w:p>
    <w:p w14:paraId="057F7E33" w14:textId="77777777" w:rsidR="00580967" w:rsidRPr="00FC077F" w:rsidRDefault="00580967" w:rsidP="00580967">
      <w:pPr>
        <w:pStyle w:val="NormalWeb"/>
        <w:spacing w:before="0" w:beforeAutospacing="0" w:after="240" w:afterAutospacing="0"/>
        <w:ind w:left="708"/>
        <w:jc w:val="both"/>
        <w:rPr>
          <w:rStyle w:val="Emphasis"/>
          <w:rFonts w:ascii="Franklin Gothic Book" w:hAnsi="Franklin Gothic Book"/>
          <w:i w:val="0"/>
          <w:sz w:val="22"/>
          <w:szCs w:val="22"/>
        </w:rPr>
      </w:pPr>
      <w:r w:rsidRPr="00FC077F">
        <w:rPr>
          <w:rFonts w:ascii="Franklin Gothic Book" w:hAnsi="Franklin Gothic Book"/>
          <w:i/>
          <w:sz w:val="22"/>
          <w:szCs w:val="22"/>
        </w:rPr>
        <w:t xml:space="preserve">The Government has stated the policies are needed to deter illegal </w:t>
      </w:r>
      <w:r w:rsidRPr="00FC077F">
        <w:rPr>
          <w:rFonts w:ascii="Franklin Gothic Book" w:hAnsi="Franklin Gothic Book"/>
          <w:i/>
          <w:sz w:val="22"/>
          <w:szCs w:val="22"/>
          <w:lang w:val="en-US"/>
        </w:rPr>
        <w:t xml:space="preserve">[sic] </w:t>
      </w:r>
      <w:r w:rsidRPr="00FC077F">
        <w:rPr>
          <w:rFonts w:ascii="Franklin Gothic Book" w:hAnsi="Franklin Gothic Book"/>
          <w:i/>
          <w:sz w:val="22"/>
          <w:szCs w:val="22"/>
        </w:rPr>
        <w:t xml:space="preserve">immigration. However, the Opposition has called for an end to the policy, believing it has had a negative impact on individuals’ lives, including those with a right to live in the UK. For example, there have been a number of reports of Commonwealth migrants who have lived in the UK since before 1973 (often referred to as the ‘Windrush generation’), who have a legal right to live in the country under the Immigration Act 1971, being denied access to services and being sent letters threatening them with deportation or detention due to their inability to provide documentation of their right to reside in the UK. The Home Office has confirmed that it has identified 63 individuals who may have been wrongfully deported. In addition, the Independent Chief Inspector of Borders and Immigration has stated that there are issues monitoring the overall impact of the </w:t>
      </w:r>
      <w:proofErr w:type="gramStart"/>
      <w:r w:rsidRPr="00FC077F">
        <w:rPr>
          <w:rFonts w:ascii="Franklin Gothic Book" w:hAnsi="Franklin Gothic Book"/>
          <w:i/>
          <w:sz w:val="22"/>
          <w:szCs w:val="22"/>
        </w:rPr>
        <w:t>policy, and</w:t>
      </w:r>
      <w:proofErr w:type="gramEnd"/>
      <w:r w:rsidRPr="00FC077F">
        <w:rPr>
          <w:rFonts w:ascii="Franklin Gothic Book" w:hAnsi="Franklin Gothic Book"/>
          <w:i/>
          <w:sz w:val="22"/>
          <w:szCs w:val="22"/>
        </w:rPr>
        <w:t xml:space="preserve"> has highlighted occasions of people being wrongly denied access to driving licences and bank accounts or being discriminated against by landlords. Further, some commentators, such as the UN Special Rapporteur on Racism, have claimed the policy measures can cause racism and discrimination. The Government has recently legislated for and introduced a ‘Windrush scheme’ aimed at rectifying some of the issues suffered by the ‘Windrush generation’ individuals. In addition, the Home Secretary, Sajid Javid, stated on 3 June 2018 that many of the ‘compliant environment’ policy measures were now being reviewed.</w:t>
      </w:r>
      <w:r w:rsidRPr="00FC077F">
        <w:rPr>
          <w:rStyle w:val="FootnoteReference"/>
          <w:rFonts w:ascii="Franklin Gothic Book" w:hAnsi="Franklin Gothic Book"/>
          <w:i/>
          <w:sz w:val="22"/>
          <w:szCs w:val="22"/>
        </w:rPr>
        <w:footnoteReference w:id="39"/>
      </w:r>
    </w:p>
    <w:p w14:paraId="07191FE1" w14:textId="77777777" w:rsidR="00666277" w:rsidRPr="00FC077F" w:rsidRDefault="00E13758" w:rsidP="00666277">
      <w:pPr>
        <w:jc w:val="both"/>
        <w:rPr>
          <w:rFonts w:ascii="Franklin Gothic Book" w:hAnsi="Franklin Gothic Book"/>
          <w:lang w:val="en-US"/>
        </w:rPr>
      </w:pPr>
      <w:r>
        <w:rPr>
          <w:rFonts w:ascii="Franklin Gothic Book" w:hAnsi="Franklin Gothic Book"/>
          <w:lang w:val="en-US"/>
        </w:rPr>
        <w:t>T</w:t>
      </w:r>
      <w:r w:rsidR="00666277" w:rsidRPr="00FC077F">
        <w:rPr>
          <w:rFonts w:ascii="Franklin Gothic Book" w:hAnsi="Franklin Gothic Book"/>
          <w:lang w:val="en-US"/>
        </w:rPr>
        <w:t xml:space="preserve">he </w:t>
      </w:r>
      <w:r w:rsidR="0039110A">
        <w:rPr>
          <w:rFonts w:ascii="Franklin Gothic Book" w:hAnsi="Franklin Gothic Book"/>
          <w:lang w:val="en-US"/>
        </w:rPr>
        <w:t>“</w:t>
      </w:r>
      <w:r w:rsidR="00666277" w:rsidRPr="00FC077F">
        <w:rPr>
          <w:rFonts w:ascii="Franklin Gothic Book" w:hAnsi="Franklin Gothic Book"/>
          <w:lang w:val="en-US"/>
        </w:rPr>
        <w:t>hostile environment</w:t>
      </w:r>
      <w:r w:rsidR="0039110A">
        <w:rPr>
          <w:rFonts w:ascii="Franklin Gothic Book" w:hAnsi="Franklin Gothic Book"/>
          <w:lang w:val="en-US"/>
        </w:rPr>
        <w:t>”</w:t>
      </w:r>
      <w:r w:rsidR="00666277" w:rsidRPr="00FC077F">
        <w:rPr>
          <w:rFonts w:ascii="Franklin Gothic Book" w:hAnsi="Franklin Gothic Book"/>
          <w:lang w:val="en-US"/>
        </w:rPr>
        <w:t xml:space="preserve"> policy includes as one of its key elements the ‘Right to Rent’ scheme, which was introduced in 2016 as a part of the Immigration Act.</w:t>
      </w:r>
      <w:r w:rsidR="00666277" w:rsidRPr="00FC077F">
        <w:rPr>
          <w:rStyle w:val="FootnoteReference"/>
          <w:rFonts w:ascii="Franklin Gothic Book" w:hAnsi="Franklin Gothic Book"/>
          <w:lang w:val="en-US"/>
        </w:rPr>
        <w:footnoteReference w:id="40"/>
      </w:r>
      <w:r w:rsidR="00666277" w:rsidRPr="00FC077F">
        <w:rPr>
          <w:rFonts w:ascii="Franklin Gothic Book" w:hAnsi="Franklin Gothic Book"/>
          <w:lang w:val="en-US"/>
        </w:rPr>
        <w:t xml:space="preserve"> The scheme aims to ensure that only people with a right to remain in the UK can access the private rental market. To prevent rentals to undocumented tenants, the scheme obliges landlords to check the immigration status of tenants and potential tenants. Renting property to undocumented people puts landlords at risk</w:t>
      </w:r>
      <w:r>
        <w:rPr>
          <w:rFonts w:ascii="Franklin Gothic Book" w:hAnsi="Franklin Gothic Book"/>
          <w:lang w:val="en-US"/>
        </w:rPr>
        <w:t xml:space="preserve"> of</w:t>
      </w:r>
      <w:r w:rsidR="00666277" w:rsidRPr="00FC077F">
        <w:rPr>
          <w:rFonts w:ascii="Franklin Gothic Book" w:hAnsi="Franklin Gothic Book"/>
          <w:lang w:val="en-US"/>
        </w:rPr>
        <w:t xml:space="preserve"> fines or imprisonment up to five years. In result, the policy delegates immigration control duties to third parties, and there have been longstanding concerns that it results in discrimination against ethnic minority groups. </w:t>
      </w:r>
    </w:p>
    <w:p w14:paraId="69E8BACD" w14:textId="77777777" w:rsidR="00666277" w:rsidRPr="00FC077F" w:rsidRDefault="00666277" w:rsidP="00666277">
      <w:pPr>
        <w:jc w:val="both"/>
        <w:rPr>
          <w:rFonts w:ascii="Franklin Gothic Book" w:hAnsi="Franklin Gothic Book"/>
          <w:lang w:val="en-US"/>
        </w:rPr>
      </w:pPr>
      <w:r w:rsidRPr="00FC077F">
        <w:rPr>
          <w:rFonts w:ascii="Franklin Gothic Book" w:hAnsi="Franklin Gothic Book"/>
          <w:lang w:val="en-US"/>
        </w:rPr>
        <w:t xml:space="preserve">Despite the fact that the policy is aimed at non-EU nationals without a valid permit to stay in the UK, there are reports that people with a right to be present in the country (including UK nationals, EU nationals, and non-EU nationals holding a valid leave) have been affected </w:t>
      </w:r>
      <w:r w:rsidR="00E13758">
        <w:rPr>
          <w:rFonts w:ascii="Franklin Gothic Book" w:hAnsi="Franklin Gothic Book"/>
          <w:lang w:val="en-US"/>
        </w:rPr>
        <w:t>by</w:t>
      </w:r>
      <w:r w:rsidRPr="00FC077F">
        <w:rPr>
          <w:rFonts w:ascii="Franklin Gothic Book" w:hAnsi="Franklin Gothic Book"/>
          <w:lang w:val="en-US"/>
        </w:rPr>
        <w:t xml:space="preserve"> the policy due to errors in applications process or problems with data retained by the Home Office. The Joint Council for the Welfare of Immigrants challenged the scheme and on March 1, 2019 the High Court of Justice ruled that the scheme is incompatible with human rights, having caused indirect racial discrimination in a manner that deprived people of their right to have a family and private life. In consequence, the law must be amended so that it is compatible with the Article 8 (family and private life) and Article 14 (prohibition of discrimination) of the ECHR.</w:t>
      </w:r>
      <w:r w:rsidRPr="00FC077F">
        <w:rPr>
          <w:rStyle w:val="FootnoteReference"/>
          <w:rFonts w:ascii="Franklin Gothic Book" w:hAnsi="Franklin Gothic Book"/>
          <w:lang w:val="en-US"/>
        </w:rPr>
        <w:footnoteReference w:id="41"/>
      </w:r>
      <w:r w:rsidRPr="00FC077F">
        <w:rPr>
          <w:rFonts w:ascii="Franklin Gothic Book" w:hAnsi="Franklin Gothic Book"/>
          <w:lang w:val="en-US"/>
        </w:rPr>
        <w:t xml:space="preserve"> </w:t>
      </w:r>
    </w:p>
    <w:p w14:paraId="20532FEE" w14:textId="77777777" w:rsidR="00E13758" w:rsidRDefault="00580967" w:rsidP="00580967">
      <w:pPr>
        <w:pStyle w:val="NormalWeb"/>
        <w:spacing w:before="0" w:beforeAutospacing="0" w:after="240" w:afterAutospacing="0"/>
        <w:jc w:val="both"/>
        <w:rPr>
          <w:rStyle w:val="Emphasis"/>
          <w:rFonts w:ascii="Franklin Gothic Book" w:hAnsi="Franklin Gothic Book"/>
          <w:i w:val="0"/>
          <w:color w:val="000000"/>
          <w:sz w:val="22"/>
          <w:szCs w:val="22"/>
        </w:rPr>
      </w:pPr>
      <w:r w:rsidRPr="00FC077F">
        <w:rPr>
          <w:rStyle w:val="Emphasis"/>
          <w:rFonts w:ascii="Franklin Gothic Book" w:hAnsi="Franklin Gothic Book"/>
          <w:i w:val="0"/>
          <w:color w:val="000000"/>
          <w:sz w:val="22"/>
          <w:szCs w:val="22"/>
        </w:rPr>
        <w:lastRenderedPageBreak/>
        <w:t>There is therefore a solid foundation of evidence concerning the harmful impact of existing policies</w:t>
      </w:r>
      <w:r w:rsidR="00E13758">
        <w:rPr>
          <w:rStyle w:val="Emphasis"/>
          <w:rFonts w:ascii="Franklin Gothic Book" w:hAnsi="Franklin Gothic Book"/>
          <w:i w:val="0"/>
          <w:color w:val="000000"/>
          <w:sz w:val="22"/>
          <w:szCs w:val="22"/>
        </w:rPr>
        <w:t xml:space="preserve"> that deviate from the rights established under the GDPR, aimed at repurposing personal data obtained in one setting (e.g., provision of health care) for immigration control. This is the policy environment in which the DPA’s “immigration exemption” was </w:t>
      </w:r>
      <w:r w:rsidR="00947D51">
        <w:rPr>
          <w:rStyle w:val="Emphasis"/>
          <w:rFonts w:ascii="Franklin Gothic Book" w:hAnsi="Franklin Gothic Book"/>
          <w:i w:val="0"/>
          <w:color w:val="000000"/>
          <w:sz w:val="22"/>
          <w:szCs w:val="22"/>
        </w:rPr>
        <w:t>enacted</w:t>
      </w:r>
      <w:r w:rsidR="00E13758">
        <w:rPr>
          <w:rStyle w:val="Emphasis"/>
          <w:rFonts w:ascii="Franklin Gothic Book" w:hAnsi="Franklin Gothic Book"/>
          <w:i w:val="0"/>
          <w:color w:val="000000"/>
          <w:sz w:val="22"/>
          <w:szCs w:val="22"/>
        </w:rPr>
        <w:t>. The restrictions it creates in connection with data subject rights must be understood within this context,</w:t>
      </w:r>
      <w:r w:rsidR="00947D51">
        <w:rPr>
          <w:rStyle w:val="Emphasis"/>
          <w:rFonts w:ascii="Franklin Gothic Book" w:hAnsi="Franklin Gothic Book"/>
          <w:i w:val="0"/>
          <w:color w:val="000000"/>
          <w:sz w:val="22"/>
          <w:szCs w:val="22"/>
        </w:rPr>
        <w:t xml:space="preserve"> and in terms of how they generate</w:t>
      </w:r>
      <w:r w:rsidR="00E13758">
        <w:rPr>
          <w:rStyle w:val="Emphasis"/>
          <w:rFonts w:ascii="Franklin Gothic Book" w:hAnsi="Franklin Gothic Book"/>
          <w:i w:val="0"/>
          <w:color w:val="000000"/>
          <w:sz w:val="22"/>
          <w:szCs w:val="22"/>
        </w:rPr>
        <w:t xml:space="preserve"> new </w:t>
      </w:r>
      <w:r w:rsidR="00947D51">
        <w:rPr>
          <w:rStyle w:val="Emphasis"/>
          <w:rFonts w:ascii="Franklin Gothic Book" w:hAnsi="Franklin Gothic Book"/>
          <w:i w:val="0"/>
          <w:color w:val="000000"/>
          <w:sz w:val="22"/>
          <w:szCs w:val="22"/>
        </w:rPr>
        <w:t xml:space="preserve">layers </w:t>
      </w:r>
      <w:r w:rsidR="00E13758">
        <w:rPr>
          <w:rStyle w:val="Emphasis"/>
          <w:rFonts w:ascii="Franklin Gothic Book" w:hAnsi="Franklin Gothic Book"/>
          <w:i w:val="0"/>
          <w:color w:val="000000"/>
          <w:sz w:val="22"/>
          <w:szCs w:val="22"/>
        </w:rPr>
        <w:t xml:space="preserve">of secrecy </w:t>
      </w:r>
      <w:r w:rsidR="00947D51">
        <w:rPr>
          <w:rStyle w:val="Emphasis"/>
          <w:rFonts w:ascii="Franklin Gothic Book" w:hAnsi="Franklin Gothic Book"/>
          <w:i w:val="0"/>
          <w:color w:val="000000"/>
          <w:sz w:val="22"/>
          <w:szCs w:val="22"/>
        </w:rPr>
        <w:t>that shield</w:t>
      </w:r>
      <w:r w:rsidR="00E13758">
        <w:rPr>
          <w:rStyle w:val="Emphasis"/>
          <w:rFonts w:ascii="Franklin Gothic Book" w:hAnsi="Franklin Gothic Book"/>
          <w:i w:val="0"/>
          <w:color w:val="000000"/>
          <w:sz w:val="22"/>
          <w:szCs w:val="22"/>
        </w:rPr>
        <w:t xml:space="preserve"> </w:t>
      </w:r>
      <w:r w:rsidR="00947D51">
        <w:rPr>
          <w:rStyle w:val="Emphasis"/>
          <w:rFonts w:ascii="Franklin Gothic Book" w:hAnsi="Franklin Gothic Book"/>
          <w:i w:val="0"/>
          <w:color w:val="000000"/>
          <w:sz w:val="22"/>
          <w:szCs w:val="22"/>
        </w:rPr>
        <w:t>various</w:t>
      </w:r>
      <w:r w:rsidR="00E13758">
        <w:rPr>
          <w:rStyle w:val="Emphasis"/>
          <w:rFonts w:ascii="Franklin Gothic Book" w:hAnsi="Franklin Gothic Book"/>
          <w:i w:val="0"/>
          <w:color w:val="000000"/>
          <w:sz w:val="22"/>
          <w:szCs w:val="22"/>
        </w:rPr>
        <w:t xml:space="preserve"> governmental and private actors from </w:t>
      </w:r>
      <w:r w:rsidR="00947D51">
        <w:rPr>
          <w:rStyle w:val="Emphasis"/>
          <w:rFonts w:ascii="Franklin Gothic Book" w:hAnsi="Franklin Gothic Book"/>
          <w:i w:val="0"/>
          <w:color w:val="000000"/>
          <w:sz w:val="22"/>
          <w:szCs w:val="22"/>
        </w:rPr>
        <w:t xml:space="preserve">accountability for </w:t>
      </w:r>
      <w:r w:rsidR="00E13758">
        <w:rPr>
          <w:rStyle w:val="Emphasis"/>
          <w:rFonts w:ascii="Franklin Gothic Book" w:hAnsi="Franklin Gothic Book"/>
          <w:i w:val="0"/>
          <w:color w:val="000000"/>
          <w:sz w:val="22"/>
          <w:szCs w:val="22"/>
        </w:rPr>
        <w:t xml:space="preserve">the improper processing of personal data. </w:t>
      </w:r>
    </w:p>
    <w:p w14:paraId="32626EB1" w14:textId="77777777" w:rsidR="00E13758" w:rsidRPr="00FC077F" w:rsidRDefault="00E13758" w:rsidP="00E13758">
      <w:pPr>
        <w:pStyle w:val="NormalWeb"/>
        <w:spacing w:before="0" w:beforeAutospacing="0" w:after="240" w:afterAutospacing="0"/>
        <w:jc w:val="both"/>
        <w:rPr>
          <w:rFonts w:ascii="Franklin Gothic Book" w:hAnsi="Franklin Gothic Book"/>
          <w:sz w:val="22"/>
          <w:szCs w:val="22"/>
          <w:lang w:val="en-US"/>
        </w:rPr>
      </w:pPr>
      <w:r w:rsidRPr="00FC077F">
        <w:rPr>
          <w:rFonts w:ascii="Franklin Gothic Book" w:hAnsi="Franklin Gothic Book"/>
          <w:sz w:val="22"/>
          <w:szCs w:val="22"/>
          <w:lang w:val="en-US"/>
        </w:rPr>
        <w:t xml:space="preserve">Article 21(1) of the Charter establishes that discrimination based on any ground shall be prohibited. It is already the case that existing measures </w:t>
      </w:r>
      <w:r>
        <w:rPr>
          <w:rFonts w:ascii="Franklin Gothic Book" w:hAnsi="Franklin Gothic Book"/>
          <w:sz w:val="22"/>
          <w:szCs w:val="22"/>
          <w:lang w:val="en-US"/>
        </w:rPr>
        <w:t>arising from</w:t>
      </w:r>
      <w:r w:rsidRPr="00FC077F">
        <w:rPr>
          <w:rFonts w:ascii="Franklin Gothic Book" w:hAnsi="Franklin Gothic Book"/>
          <w:sz w:val="22"/>
          <w:szCs w:val="22"/>
          <w:lang w:val="en-US"/>
        </w:rPr>
        <w:t xml:space="preserve"> </w:t>
      </w:r>
      <w:r w:rsidR="00947D51">
        <w:rPr>
          <w:rFonts w:ascii="Franklin Gothic Book" w:hAnsi="Franklin Gothic Book"/>
          <w:sz w:val="22"/>
          <w:szCs w:val="22"/>
          <w:lang w:val="en-US"/>
        </w:rPr>
        <w:t>the “hostile environment”</w:t>
      </w:r>
      <w:r w:rsidRPr="00FC077F">
        <w:rPr>
          <w:rFonts w:ascii="Franklin Gothic Book" w:hAnsi="Franklin Gothic Book"/>
          <w:sz w:val="22"/>
          <w:szCs w:val="22"/>
          <w:lang w:val="en-US"/>
        </w:rPr>
        <w:t xml:space="preserve"> policy have had a disproportionate impact on minority communities, and individuals in situations of vulnerability.</w:t>
      </w:r>
      <w:r w:rsidR="00947D51">
        <w:rPr>
          <w:rFonts w:ascii="Franklin Gothic Book" w:hAnsi="Franklin Gothic Book"/>
          <w:sz w:val="22"/>
          <w:szCs w:val="22"/>
          <w:lang w:val="en-US"/>
        </w:rPr>
        <w:t xml:space="preserve"> The “immigration control exemption” furthers violations of rights of non-citizens, including </w:t>
      </w:r>
      <w:r w:rsidR="00866D82">
        <w:rPr>
          <w:rFonts w:ascii="Franklin Gothic Book" w:hAnsi="Franklin Gothic Book"/>
          <w:sz w:val="22"/>
          <w:szCs w:val="22"/>
        </w:rPr>
        <w:t>the</w:t>
      </w:r>
      <w:r w:rsidR="00866D82" w:rsidRPr="00C95DBE">
        <w:rPr>
          <w:rFonts w:ascii="Franklin Gothic Book" w:hAnsi="Franklin Gothic Book"/>
          <w:sz w:val="22"/>
          <w:szCs w:val="22"/>
        </w:rPr>
        <w:t xml:space="preserve"> rights to education, health care, housing, access to the justice system and to an effective remedy, and </w:t>
      </w:r>
      <w:r w:rsidR="00866D82">
        <w:rPr>
          <w:rFonts w:ascii="Franklin Gothic Book" w:hAnsi="Franklin Gothic Book"/>
          <w:sz w:val="22"/>
          <w:szCs w:val="22"/>
        </w:rPr>
        <w:t xml:space="preserve">to </w:t>
      </w:r>
      <w:r w:rsidR="00866D82" w:rsidRPr="00C95DBE">
        <w:rPr>
          <w:rFonts w:ascii="Franklin Gothic Book" w:hAnsi="Franklin Gothic Book"/>
          <w:sz w:val="22"/>
          <w:szCs w:val="22"/>
        </w:rPr>
        <w:t>non-discrimination</w:t>
      </w:r>
      <w:r w:rsidR="00947D51">
        <w:rPr>
          <w:rFonts w:ascii="Franklin Gothic Book" w:hAnsi="Franklin Gothic Book"/>
          <w:sz w:val="22"/>
          <w:szCs w:val="22"/>
          <w:lang w:val="en-US"/>
        </w:rPr>
        <w:t>.</w:t>
      </w:r>
      <w:r w:rsidR="00866D82">
        <w:rPr>
          <w:rStyle w:val="FootnoteReference"/>
          <w:rFonts w:ascii="Franklin Gothic Book" w:hAnsi="Franklin Gothic Book"/>
          <w:sz w:val="22"/>
          <w:szCs w:val="22"/>
          <w:lang w:val="en-US"/>
        </w:rPr>
        <w:footnoteReference w:id="42"/>
      </w:r>
    </w:p>
    <w:p w14:paraId="053D3CBE" w14:textId="77777777" w:rsidR="00E1607B" w:rsidRPr="00FC077F" w:rsidRDefault="00E1607B" w:rsidP="00666277">
      <w:pPr>
        <w:pStyle w:val="Heading4"/>
        <w:rPr>
          <w:lang w:eastAsia="zh-CN"/>
        </w:rPr>
      </w:pPr>
      <w:bookmarkStart w:id="32" w:name="_Toc10494474"/>
      <w:r w:rsidRPr="00FC077F">
        <w:rPr>
          <w:lang w:eastAsia="zh-CN"/>
        </w:rPr>
        <w:t>The “immigration control exemption” fails to establish the safeguards required under Article 23(2) GDPR</w:t>
      </w:r>
      <w:bookmarkEnd w:id="32"/>
    </w:p>
    <w:p w14:paraId="19500098" w14:textId="77777777" w:rsidR="00E61ED1" w:rsidRPr="00FC077F" w:rsidRDefault="00E61ED1" w:rsidP="00E61ED1">
      <w:pPr>
        <w:pStyle w:val="NormalWeb"/>
        <w:tabs>
          <w:tab w:val="left" w:pos="1545"/>
        </w:tabs>
        <w:spacing w:before="0" w:beforeAutospacing="0" w:after="240" w:afterAutospacing="0"/>
        <w:jc w:val="both"/>
        <w:rPr>
          <w:rFonts w:ascii="Franklin Gothic Book" w:hAnsi="Franklin Gothic Book"/>
          <w:sz w:val="22"/>
          <w:szCs w:val="22"/>
          <w:lang w:val="en-US"/>
        </w:rPr>
      </w:pPr>
      <w:r w:rsidRPr="00FC077F">
        <w:rPr>
          <w:rStyle w:val="Emphasis"/>
          <w:rFonts w:ascii="Franklin Gothic Book" w:hAnsi="Franklin Gothic Book"/>
          <w:i w:val="0"/>
          <w:color w:val="000000"/>
          <w:sz w:val="22"/>
          <w:szCs w:val="22"/>
          <w:lang w:val="en-US"/>
        </w:rPr>
        <w:t>Even if</w:t>
      </w:r>
      <w:r w:rsidR="00580967" w:rsidRPr="00FC077F">
        <w:rPr>
          <w:rStyle w:val="Emphasis"/>
          <w:rFonts w:ascii="Franklin Gothic Book" w:hAnsi="Franklin Gothic Book"/>
          <w:i w:val="0"/>
          <w:color w:val="000000"/>
          <w:sz w:val="22"/>
          <w:szCs w:val="22"/>
          <w:lang w:val="en-US"/>
        </w:rPr>
        <w:t xml:space="preserve"> the exemption could be said to meet</w:t>
      </w:r>
      <w:r w:rsidRPr="00FC077F">
        <w:rPr>
          <w:rStyle w:val="Emphasis"/>
          <w:rFonts w:ascii="Franklin Gothic Book" w:hAnsi="Franklin Gothic Book"/>
          <w:i w:val="0"/>
          <w:color w:val="000000"/>
          <w:sz w:val="22"/>
          <w:szCs w:val="22"/>
          <w:lang w:val="en-US"/>
        </w:rPr>
        <w:t xml:space="preserve"> the strict conditions set out in Article 23(1), it fails to include procedural sa</w:t>
      </w:r>
      <w:r w:rsidR="0060238E" w:rsidRPr="00FC077F">
        <w:rPr>
          <w:rStyle w:val="Emphasis"/>
          <w:rFonts w:ascii="Franklin Gothic Book" w:hAnsi="Franklin Gothic Book"/>
          <w:i w:val="0"/>
          <w:color w:val="000000"/>
          <w:sz w:val="22"/>
          <w:szCs w:val="22"/>
          <w:lang w:val="en-US"/>
        </w:rPr>
        <w:t>feguards set out in 23(2) that</w:t>
      </w:r>
      <w:r w:rsidRPr="00FC077F">
        <w:rPr>
          <w:rStyle w:val="Emphasis"/>
          <w:rFonts w:ascii="Franklin Gothic Book" w:hAnsi="Franklin Gothic Book"/>
          <w:i w:val="0"/>
          <w:color w:val="000000"/>
          <w:sz w:val="22"/>
          <w:szCs w:val="22"/>
          <w:lang w:val="en-US"/>
        </w:rPr>
        <w:t xml:space="preserve"> require that any measure taken under Article 23(1) contain specific provisions </w:t>
      </w:r>
      <w:r w:rsidRPr="00FC077F">
        <w:rPr>
          <w:rFonts w:ascii="Franklin Gothic Book" w:hAnsi="Franklin Gothic Book"/>
          <w:sz w:val="22"/>
          <w:szCs w:val="22"/>
          <w:lang w:val="en-US"/>
        </w:rPr>
        <w:t>to prevent abuse or unlawful access or transfer</w:t>
      </w:r>
      <w:r w:rsidR="00666277" w:rsidRPr="00FC077F">
        <w:rPr>
          <w:rFonts w:ascii="Franklin Gothic Book" w:hAnsi="Franklin Gothic Book"/>
          <w:sz w:val="22"/>
          <w:szCs w:val="22"/>
          <w:lang w:val="en-US"/>
        </w:rPr>
        <w:t xml:space="preserve"> of personal data</w:t>
      </w:r>
      <w:r w:rsidRPr="00FC077F">
        <w:rPr>
          <w:rFonts w:ascii="Franklin Gothic Book" w:hAnsi="Franklin Gothic Book"/>
          <w:sz w:val="22"/>
          <w:szCs w:val="22"/>
          <w:lang w:val="en-US"/>
        </w:rPr>
        <w:t xml:space="preserve">, </w:t>
      </w:r>
      <w:r w:rsidR="00C16B6C" w:rsidRPr="00FC077F">
        <w:rPr>
          <w:rFonts w:ascii="Franklin Gothic Book" w:hAnsi="Franklin Gothic Book"/>
          <w:sz w:val="22"/>
          <w:szCs w:val="22"/>
          <w:lang w:val="en-US"/>
        </w:rPr>
        <w:t xml:space="preserve">including through </w:t>
      </w:r>
      <w:r w:rsidRPr="00FC077F">
        <w:rPr>
          <w:rFonts w:ascii="Franklin Gothic Book" w:hAnsi="Franklin Gothic Book"/>
          <w:sz w:val="22"/>
          <w:szCs w:val="22"/>
          <w:lang w:val="en-US"/>
        </w:rPr>
        <w:t xml:space="preserve">the specification of the controller or categories of controllers, storage periods and the applicable safeguards taking into account the nature, scope and purposes of the processing, </w:t>
      </w:r>
      <w:r w:rsidR="00666277" w:rsidRPr="00FC077F">
        <w:rPr>
          <w:rFonts w:ascii="Franklin Gothic Book" w:hAnsi="Franklin Gothic Book"/>
          <w:sz w:val="22"/>
          <w:szCs w:val="22"/>
          <w:lang w:val="en-US"/>
        </w:rPr>
        <w:t xml:space="preserve">and </w:t>
      </w:r>
      <w:r w:rsidRPr="00FC077F">
        <w:rPr>
          <w:rFonts w:ascii="Franklin Gothic Book" w:hAnsi="Franklin Gothic Book"/>
          <w:sz w:val="22"/>
          <w:szCs w:val="22"/>
          <w:lang w:val="en-US"/>
        </w:rPr>
        <w:t>the risks to the rights and freedoms of affected individuals.</w:t>
      </w:r>
    </w:p>
    <w:p w14:paraId="2D338A35" w14:textId="77777777" w:rsidR="00580967" w:rsidRPr="00FC077F" w:rsidRDefault="00580967" w:rsidP="00E61ED1">
      <w:pPr>
        <w:pStyle w:val="NormalWeb"/>
        <w:tabs>
          <w:tab w:val="left" w:pos="1545"/>
        </w:tabs>
        <w:spacing w:before="0" w:beforeAutospacing="0" w:after="240" w:afterAutospacing="0"/>
        <w:jc w:val="both"/>
        <w:rPr>
          <w:rFonts w:ascii="Franklin Gothic Book" w:hAnsi="Franklin Gothic Book"/>
          <w:sz w:val="22"/>
          <w:szCs w:val="22"/>
          <w:lang w:val="en-US"/>
        </w:rPr>
      </w:pPr>
      <w:r w:rsidRPr="00FC077F">
        <w:rPr>
          <w:rFonts w:ascii="Franklin Gothic Book" w:hAnsi="Franklin Gothic Book"/>
          <w:sz w:val="22"/>
          <w:szCs w:val="22"/>
          <w:lang w:val="en-US"/>
        </w:rPr>
        <w:t>The absence of such safeguards is particularly problematic in view of the GDPR’s enhanced protections for sensitive data, and for vulnerable data subjects.</w:t>
      </w:r>
    </w:p>
    <w:p w14:paraId="2D49D591" w14:textId="77777777" w:rsidR="00580967" w:rsidRPr="00FC077F" w:rsidRDefault="00580967" w:rsidP="000D371C">
      <w:pPr>
        <w:pStyle w:val="Heading5"/>
        <w:rPr>
          <w:rFonts w:ascii="Franklin Gothic Book" w:hAnsi="Franklin Gothic Book"/>
          <w:lang w:val="en-US"/>
        </w:rPr>
      </w:pPr>
      <w:r w:rsidRPr="00FC077F">
        <w:rPr>
          <w:rFonts w:ascii="Franklin Gothic Book" w:hAnsi="Franklin Gothic Book"/>
          <w:lang w:val="en-US"/>
        </w:rPr>
        <w:t>Sensitive data</w:t>
      </w:r>
    </w:p>
    <w:p w14:paraId="0492EC01" w14:textId="77777777" w:rsidR="00955D19" w:rsidRPr="00955D19" w:rsidRDefault="00580967" w:rsidP="00955D19">
      <w:pPr>
        <w:jc w:val="both"/>
        <w:rPr>
          <w:rFonts w:ascii="Franklin Gothic Book" w:eastAsia="SimSun" w:hAnsi="Franklin Gothic Book"/>
          <w:lang w:val="en-US" w:eastAsia="zh-CN"/>
        </w:rPr>
      </w:pPr>
      <w:r w:rsidRPr="00FC077F">
        <w:rPr>
          <w:rFonts w:ascii="Franklin Gothic Book" w:hAnsi="Franklin Gothic Book"/>
          <w:lang w:val="en-US"/>
        </w:rPr>
        <w:t>GDPR enforces enhanced protection for certain special categories of data (“sensitive data”)</w:t>
      </w:r>
      <w:r w:rsidR="00955D19">
        <w:rPr>
          <w:rFonts w:ascii="Franklin Gothic Book" w:hAnsi="Franklin Gothic Book"/>
          <w:lang w:val="en-US"/>
        </w:rPr>
        <w:t>. The p</w:t>
      </w:r>
      <w:r w:rsidRPr="00FC077F">
        <w:rPr>
          <w:rFonts w:ascii="Franklin Gothic Book" w:hAnsi="Franklin Gothic Book"/>
          <w:lang w:val="en-US"/>
        </w:rPr>
        <w:t>rocessing of sensitive data is in principle prohibited by GDPR, unless certain exceptions apply.</w:t>
      </w:r>
      <w:r w:rsidRPr="00FC077F">
        <w:rPr>
          <w:rStyle w:val="FootnoteReference"/>
          <w:rFonts w:ascii="Franklin Gothic Book" w:hAnsi="Franklin Gothic Book"/>
          <w:lang w:val="en-US"/>
        </w:rPr>
        <w:footnoteReference w:id="43"/>
      </w:r>
      <w:r w:rsidR="00955D19" w:rsidRPr="00955D19">
        <w:rPr>
          <w:rFonts w:ascii="Franklin Gothic Book" w:hAnsi="Franklin Gothic Book"/>
          <w:lang w:val="en-US"/>
        </w:rPr>
        <w:t xml:space="preserve"> </w:t>
      </w:r>
      <w:r w:rsidR="00955D19" w:rsidRPr="00FC077F">
        <w:rPr>
          <w:rFonts w:ascii="Franklin Gothic Book" w:hAnsi="Franklin Gothic Book"/>
          <w:lang w:val="en-US"/>
        </w:rPr>
        <w:t xml:space="preserve">The enhanced protection of sensitive data is inherently linked to (and must therefore be read </w:t>
      </w:r>
      <w:proofErr w:type="gramStart"/>
      <w:r w:rsidR="00955D19" w:rsidRPr="00FC077F">
        <w:rPr>
          <w:rFonts w:ascii="Franklin Gothic Book" w:hAnsi="Franklin Gothic Book"/>
          <w:lang w:val="en-US"/>
        </w:rPr>
        <w:t>in light of</w:t>
      </w:r>
      <w:proofErr w:type="gramEnd"/>
      <w:r w:rsidR="00955D19" w:rsidRPr="00FC077F">
        <w:rPr>
          <w:rFonts w:ascii="Franklin Gothic Book" w:hAnsi="Franklin Gothic Book"/>
          <w:lang w:val="en-US"/>
        </w:rPr>
        <w:t>) other fundamental rights, such as the freedom of thought, conscience and religion protected by Article 9 ECHR and the prohibition of discrimination protected by Article 14 ECHR</w:t>
      </w:r>
      <w:r w:rsidR="00955D19" w:rsidRPr="00FC077F">
        <w:rPr>
          <w:rFonts w:ascii="Franklin Gothic Book" w:eastAsia="SimSun" w:hAnsi="Franklin Gothic Book"/>
          <w:lang w:val="en-US" w:eastAsia="zh-CN"/>
        </w:rPr>
        <w:t xml:space="preserve">.  </w:t>
      </w:r>
    </w:p>
    <w:p w14:paraId="13748B0D" w14:textId="77777777" w:rsidR="00580967" w:rsidRPr="00955D19" w:rsidRDefault="00580967" w:rsidP="00DD417E">
      <w:pPr>
        <w:jc w:val="both"/>
        <w:rPr>
          <w:rFonts w:ascii="Franklin Gothic Book" w:hAnsi="Franklin Gothic Book"/>
          <w:lang w:val="en-US"/>
        </w:rPr>
      </w:pPr>
      <w:r w:rsidRPr="00FC077F">
        <w:rPr>
          <w:rFonts w:ascii="Franklin Gothic Book" w:hAnsi="Franklin Gothic Book"/>
          <w:lang w:val="en-US"/>
        </w:rPr>
        <w:t xml:space="preserve">Information concerning a person’s immigration status will often indirectly qualify as sensitive data because it may reveal the individual’s racial or ethnic origin and, particularly in the case of asylum seekers or refugees, political opinions, religious or philosophical beliefs and/or sexual orientation.   </w:t>
      </w:r>
    </w:p>
    <w:p w14:paraId="79073D66" w14:textId="77777777" w:rsidR="00580967" w:rsidRPr="00FC077F" w:rsidRDefault="00580967" w:rsidP="000D371C">
      <w:pPr>
        <w:pStyle w:val="Heading5"/>
        <w:rPr>
          <w:rFonts w:ascii="Franklin Gothic Book" w:hAnsi="Franklin Gothic Book"/>
          <w:lang w:val="en-US"/>
        </w:rPr>
      </w:pPr>
      <w:r w:rsidRPr="00FC077F">
        <w:rPr>
          <w:rFonts w:ascii="Franklin Gothic Book" w:hAnsi="Franklin Gothic Book"/>
          <w:lang w:val="en-US"/>
        </w:rPr>
        <w:t>Vulnerable Data Subjects (Children)</w:t>
      </w:r>
    </w:p>
    <w:p w14:paraId="25CB5D6E" w14:textId="77777777" w:rsidR="0060238E" w:rsidRPr="00FC077F" w:rsidRDefault="00580967" w:rsidP="00DD417E">
      <w:pPr>
        <w:jc w:val="both"/>
        <w:rPr>
          <w:rFonts w:ascii="Franklin Gothic Book" w:hAnsi="Franklin Gothic Book"/>
          <w:lang w:val="en-US" w:eastAsia="zh-CN"/>
        </w:rPr>
      </w:pPr>
      <w:r w:rsidRPr="00FC077F">
        <w:rPr>
          <w:rFonts w:ascii="Franklin Gothic Book" w:hAnsi="Franklin Gothic Book"/>
          <w:lang w:val="en-US"/>
        </w:rPr>
        <w:t>Specific categories of individuals that are particularly vulnerable are also entitled to a higher level of protection under GDPR</w:t>
      </w:r>
      <w:r w:rsidR="00955D19">
        <w:rPr>
          <w:rFonts w:ascii="Franklin Gothic Book" w:hAnsi="Franklin Gothic Book"/>
          <w:lang w:val="en-US"/>
        </w:rPr>
        <w:t>, including</w:t>
      </w:r>
      <w:r w:rsidRPr="00FC077F">
        <w:rPr>
          <w:rFonts w:ascii="Franklin Gothic Book" w:hAnsi="Franklin Gothic Book"/>
          <w:lang w:val="en-US"/>
        </w:rPr>
        <w:t xml:space="preserve"> </w:t>
      </w:r>
      <w:r w:rsidR="00955D19">
        <w:rPr>
          <w:rFonts w:ascii="Franklin Gothic Book" w:hAnsi="Franklin Gothic Book"/>
          <w:lang w:val="en-US"/>
        </w:rPr>
        <w:t>c</w:t>
      </w:r>
      <w:r w:rsidRPr="00FC077F">
        <w:rPr>
          <w:rFonts w:ascii="Franklin Gothic Book" w:hAnsi="Franklin Gothic Book"/>
          <w:lang w:val="en-US"/>
        </w:rPr>
        <w:t>hildren.</w:t>
      </w:r>
      <w:r w:rsidRPr="00FC077F">
        <w:rPr>
          <w:rStyle w:val="FootnoteReference"/>
          <w:rFonts w:ascii="Franklin Gothic Book" w:hAnsi="Franklin Gothic Book"/>
          <w:lang w:val="en-US" w:eastAsia="zh-CN"/>
        </w:rPr>
        <w:footnoteReference w:id="44"/>
      </w:r>
      <w:r w:rsidRPr="00FC077F">
        <w:rPr>
          <w:rFonts w:ascii="Franklin Gothic Book" w:hAnsi="Franklin Gothic Book"/>
          <w:vertAlign w:val="superscript"/>
          <w:lang w:val="en-US"/>
        </w:rPr>
        <w:t xml:space="preserve"> </w:t>
      </w:r>
      <w:r w:rsidR="00955D19">
        <w:rPr>
          <w:rFonts w:ascii="Franklin Gothic Book" w:hAnsi="Franklin Gothic Book"/>
          <w:lang w:val="en-US"/>
        </w:rPr>
        <w:t xml:space="preserve"> </w:t>
      </w:r>
      <w:r w:rsidRPr="00FC077F">
        <w:rPr>
          <w:rFonts w:ascii="Franklin Gothic Book" w:hAnsi="Franklin Gothic Book"/>
          <w:lang w:val="en-US" w:eastAsia="zh-CN"/>
        </w:rPr>
        <w:t xml:space="preserve">Children should enjoy stronger protection when </w:t>
      </w:r>
      <w:r w:rsidRPr="00FC077F">
        <w:rPr>
          <w:rFonts w:ascii="Franklin Gothic Book" w:hAnsi="Franklin Gothic Book"/>
          <w:lang w:val="en-US" w:eastAsia="zh-CN"/>
        </w:rPr>
        <w:lastRenderedPageBreak/>
        <w:t>their personal data are used for any purpose, including to check their immigration status.</w:t>
      </w:r>
      <w:r w:rsidR="00955D19" w:rsidRPr="00FC077F">
        <w:rPr>
          <w:rStyle w:val="FootnoteReference"/>
          <w:rFonts w:ascii="Franklin Gothic Book" w:hAnsi="Franklin Gothic Book"/>
          <w:lang w:val="en-US"/>
        </w:rPr>
        <w:footnoteReference w:id="45"/>
      </w:r>
      <w:r w:rsidRPr="00FC077F">
        <w:rPr>
          <w:rFonts w:ascii="Franklin Gothic Book" w:hAnsi="Franklin Gothic Book"/>
          <w:lang w:val="en-US" w:eastAsia="zh-CN"/>
        </w:rPr>
        <w:t xml:space="preserve">  </w:t>
      </w:r>
      <w:r w:rsidR="00890EAA" w:rsidRPr="00FC077F">
        <w:rPr>
          <w:rFonts w:ascii="Franklin Gothic Book" w:hAnsi="Franklin Gothic Book"/>
          <w:lang w:val="en-US" w:eastAsia="zh-CN"/>
        </w:rPr>
        <w:t xml:space="preserve">The “immigration control exemption” is bereft of limitations that safeguard the special rights of vulnerable individuals, and in </w:t>
      </w:r>
      <w:proofErr w:type="gramStart"/>
      <w:r w:rsidR="00890EAA" w:rsidRPr="00FC077F">
        <w:rPr>
          <w:rFonts w:ascii="Franklin Gothic Book" w:hAnsi="Franklin Gothic Book"/>
          <w:lang w:val="en-US" w:eastAsia="zh-CN"/>
        </w:rPr>
        <w:t>particular children</w:t>
      </w:r>
      <w:proofErr w:type="gramEnd"/>
      <w:r w:rsidR="00890EAA" w:rsidRPr="00FC077F">
        <w:rPr>
          <w:rFonts w:ascii="Franklin Gothic Book" w:hAnsi="Franklin Gothic Book"/>
          <w:lang w:val="en-US" w:eastAsia="zh-CN"/>
        </w:rPr>
        <w:t>.</w:t>
      </w:r>
    </w:p>
    <w:p w14:paraId="05CC03AE" w14:textId="77777777" w:rsidR="0060238E" w:rsidRPr="00FC077F" w:rsidRDefault="00890EAA" w:rsidP="00666277">
      <w:pPr>
        <w:pStyle w:val="Heading4"/>
        <w:rPr>
          <w:rStyle w:val="Emphasis"/>
          <w:i/>
          <w:iCs/>
          <w:lang w:eastAsia="zh-CN"/>
        </w:rPr>
      </w:pPr>
      <w:bookmarkStart w:id="37" w:name="_Toc10494475"/>
      <w:r w:rsidRPr="00FC077F">
        <w:rPr>
          <w:rStyle w:val="Emphasis"/>
        </w:rPr>
        <w:t>Conclusion</w:t>
      </w:r>
      <w:bookmarkEnd w:id="37"/>
    </w:p>
    <w:p w14:paraId="7EB5DEF5" w14:textId="562E16F5" w:rsidR="00590C8A" w:rsidRPr="00FC077F" w:rsidRDefault="00590C8A" w:rsidP="00590C8A">
      <w:pPr>
        <w:pStyle w:val="NormalWeb"/>
        <w:tabs>
          <w:tab w:val="left" w:pos="1545"/>
        </w:tabs>
        <w:spacing w:before="0" w:beforeAutospacing="0" w:after="240" w:afterAutospacing="0"/>
        <w:jc w:val="both"/>
        <w:rPr>
          <w:rStyle w:val="Emphasis"/>
          <w:rFonts w:ascii="Franklin Gothic Book" w:hAnsi="Franklin Gothic Book"/>
          <w:i w:val="0"/>
          <w:color w:val="000000"/>
          <w:sz w:val="22"/>
          <w:szCs w:val="22"/>
          <w:lang w:val="en-US"/>
        </w:rPr>
      </w:pPr>
      <w:r>
        <w:rPr>
          <w:rStyle w:val="Emphasis"/>
          <w:rFonts w:ascii="Franklin Gothic Book" w:hAnsi="Franklin Gothic Book"/>
          <w:i w:val="0"/>
          <w:color w:val="000000"/>
          <w:sz w:val="22"/>
          <w:szCs w:val="22"/>
          <w:lang w:val="en-US"/>
        </w:rPr>
        <w:t>The UK DPA’s “immigration control exemption” runs exactly contrary to the EU’s efforts to reinforce individuals’ fundamental right to the protection of their personal data</w:t>
      </w:r>
      <w:r w:rsidR="00E81EC1" w:rsidRPr="00E81EC1">
        <w:rPr>
          <w:rStyle w:val="Emphasis"/>
          <w:rFonts w:ascii="Franklin Gothic Book" w:hAnsi="Franklin Gothic Book"/>
          <w:i w:val="0"/>
          <w:color w:val="000000"/>
          <w:sz w:val="22"/>
          <w:szCs w:val="22"/>
          <w:lang w:val="en-US"/>
        </w:rPr>
        <w:t xml:space="preserve"> </w:t>
      </w:r>
      <w:r w:rsidR="00E81EC1">
        <w:rPr>
          <w:rStyle w:val="Emphasis"/>
          <w:rFonts w:ascii="Franklin Gothic Book" w:hAnsi="Franklin Gothic Book"/>
          <w:i w:val="0"/>
          <w:color w:val="000000"/>
          <w:sz w:val="22"/>
          <w:szCs w:val="22"/>
          <w:lang w:val="en-US"/>
        </w:rPr>
        <w:t>through the GDPR</w:t>
      </w:r>
      <w:r>
        <w:rPr>
          <w:rStyle w:val="Emphasis"/>
          <w:rFonts w:ascii="Franklin Gothic Book" w:hAnsi="Franklin Gothic Book"/>
          <w:i w:val="0"/>
          <w:color w:val="000000"/>
          <w:sz w:val="22"/>
          <w:szCs w:val="22"/>
          <w:lang w:val="en-US"/>
        </w:rPr>
        <w:t xml:space="preserve">, particularly in the age of Big Data. It carves out a space where public and private actors have wide discretion to process personal data, without the knowledge of affected individuals and thus with virtually no accountability, for the broad and unspecified aim of “immigration enforcement.” Such an exemption flies in the face of the EU’s standards on privacy and data protection, as well as rights to due process and to an effective remedy. It </w:t>
      </w:r>
      <w:r w:rsidR="006A50DD">
        <w:rPr>
          <w:rStyle w:val="Emphasis"/>
          <w:rFonts w:ascii="Franklin Gothic Book" w:hAnsi="Franklin Gothic Book"/>
          <w:i w:val="0"/>
          <w:color w:val="000000"/>
          <w:sz w:val="22"/>
          <w:szCs w:val="22"/>
          <w:lang w:val="en-US"/>
        </w:rPr>
        <w:t>does not meet the strict conditions set out in Article 23 for derogations of rights under the GDPR.</w:t>
      </w:r>
    </w:p>
    <w:p w14:paraId="2237586A" w14:textId="77777777" w:rsidR="00D005F1" w:rsidRDefault="0060238E" w:rsidP="00890EAA">
      <w:pPr>
        <w:pStyle w:val="NormalWeb"/>
        <w:tabs>
          <w:tab w:val="left" w:pos="1545"/>
        </w:tabs>
        <w:spacing w:before="0" w:beforeAutospacing="0" w:after="240" w:afterAutospacing="0"/>
        <w:jc w:val="both"/>
        <w:rPr>
          <w:rStyle w:val="Emphasis"/>
          <w:rFonts w:ascii="Franklin Gothic Book" w:hAnsi="Franklin Gothic Book"/>
          <w:i w:val="0"/>
          <w:color w:val="000000"/>
          <w:sz w:val="22"/>
          <w:szCs w:val="22"/>
          <w:lang w:val="en-US"/>
        </w:rPr>
      </w:pPr>
      <w:r w:rsidRPr="00FC077F">
        <w:rPr>
          <w:rStyle w:val="Emphasis"/>
          <w:rFonts w:ascii="Franklin Gothic Book" w:hAnsi="Franklin Gothic Book"/>
          <w:i w:val="0"/>
          <w:color w:val="000000"/>
          <w:sz w:val="22"/>
          <w:szCs w:val="22"/>
          <w:lang w:val="en-US"/>
        </w:rPr>
        <w:t xml:space="preserve">For the reasons outlined above, the </w:t>
      </w:r>
      <w:r w:rsidR="00955D19">
        <w:rPr>
          <w:rStyle w:val="Emphasis"/>
          <w:rFonts w:ascii="Franklin Gothic Book" w:hAnsi="Franklin Gothic Book"/>
          <w:i w:val="0"/>
          <w:color w:val="000000"/>
          <w:sz w:val="22"/>
          <w:szCs w:val="22"/>
          <w:lang w:val="en-US"/>
        </w:rPr>
        <w:t xml:space="preserve">UK DPA’s “immigration </w:t>
      </w:r>
      <w:r w:rsidR="00547D5B">
        <w:rPr>
          <w:rStyle w:val="Emphasis"/>
          <w:rFonts w:ascii="Franklin Gothic Book" w:hAnsi="Franklin Gothic Book"/>
          <w:i w:val="0"/>
          <w:color w:val="000000"/>
          <w:sz w:val="22"/>
          <w:szCs w:val="22"/>
          <w:lang w:val="en-US"/>
        </w:rPr>
        <w:t xml:space="preserve">control </w:t>
      </w:r>
      <w:r w:rsidRPr="00FC077F">
        <w:rPr>
          <w:rStyle w:val="Emphasis"/>
          <w:rFonts w:ascii="Franklin Gothic Book" w:hAnsi="Franklin Gothic Book"/>
          <w:i w:val="0"/>
          <w:color w:val="000000"/>
          <w:sz w:val="22"/>
          <w:szCs w:val="22"/>
          <w:lang w:val="en-US"/>
        </w:rPr>
        <w:t>exemption</w:t>
      </w:r>
      <w:r w:rsidR="00955D19">
        <w:rPr>
          <w:rStyle w:val="Emphasis"/>
          <w:rFonts w:ascii="Franklin Gothic Book" w:hAnsi="Franklin Gothic Book"/>
          <w:i w:val="0"/>
          <w:color w:val="000000"/>
          <w:sz w:val="22"/>
          <w:szCs w:val="22"/>
          <w:lang w:val="en-US"/>
        </w:rPr>
        <w:t>”</w:t>
      </w:r>
      <w:r w:rsidRPr="00FC077F">
        <w:rPr>
          <w:rStyle w:val="Emphasis"/>
          <w:rFonts w:ascii="Franklin Gothic Book" w:hAnsi="Franklin Gothic Book"/>
          <w:i w:val="0"/>
          <w:color w:val="000000"/>
          <w:sz w:val="22"/>
          <w:szCs w:val="22"/>
          <w:lang w:val="en-US"/>
        </w:rPr>
        <w:t xml:space="preserve"> is </w:t>
      </w:r>
      <w:r w:rsidR="00D005F1">
        <w:rPr>
          <w:rStyle w:val="Emphasis"/>
          <w:rFonts w:ascii="Franklin Gothic Book" w:hAnsi="Franklin Gothic Book"/>
          <w:i w:val="0"/>
          <w:color w:val="000000"/>
          <w:sz w:val="22"/>
          <w:szCs w:val="22"/>
          <w:lang w:val="en-US"/>
        </w:rPr>
        <w:t>wholly</w:t>
      </w:r>
      <w:r w:rsidR="00955D19">
        <w:rPr>
          <w:rStyle w:val="Emphasis"/>
          <w:rFonts w:ascii="Franklin Gothic Book" w:hAnsi="Franklin Gothic Book"/>
          <w:i w:val="0"/>
          <w:color w:val="000000"/>
          <w:sz w:val="22"/>
          <w:szCs w:val="22"/>
          <w:lang w:val="en-US"/>
        </w:rPr>
        <w:t xml:space="preserve"> </w:t>
      </w:r>
      <w:r w:rsidR="00890EAA" w:rsidRPr="00FC077F">
        <w:rPr>
          <w:rStyle w:val="Emphasis"/>
          <w:rFonts w:ascii="Franklin Gothic Book" w:hAnsi="Franklin Gothic Book"/>
          <w:i w:val="0"/>
          <w:color w:val="000000"/>
          <w:sz w:val="22"/>
          <w:szCs w:val="22"/>
          <w:lang w:val="en-US"/>
        </w:rPr>
        <w:t>incompatible with the GDPR and risks the future adequacy of the UK’s data protection arrangements for the free flow of data between the UK and the EU. The exemption is also incompatible with Articles 8 and 14 of the European Convention on Hum</w:t>
      </w:r>
      <w:r w:rsidRPr="00FC077F">
        <w:rPr>
          <w:rStyle w:val="Emphasis"/>
          <w:rFonts w:ascii="Franklin Gothic Book" w:hAnsi="Franklin Gothic Book"/>
          <w:i w:val="0"/>
          <w:color w:val="000000"/>
          <w:sz w:val="22"/>
          <w:szCs w:val="22"/>
          <w:lang w:val="en-US"/>
        </w:rPr>
        <w:t>an Rights, and Articles 7, 8</w:t>
      </w:r>
      <w:r w:rsidR="004218AA">
        <w:rPr>
          <w:rStyle w:val="Emphasis"/>
          <w:rFonts w:ascii="Franklin Gothic Book" w:hAnsi="Franklin Gothic Book"/>
          <w:i w:val="0"/>
          <w:color w:val="000000"/>
          <w:sz w:val="22"/>
          <w:szCs w:val="22"/>
          <w:lang w:val="en-US"/>
        </w:rPr>
        <w:t>,</w:t>
      </w:r>
      <w:r w:rsidR="00890EAA" w:rsidRPr="00FC077F">
        <w:rPr>
          <w:rStyle w:val="Emphasis"/>
          <w:rFonts w:ascii="Franklin Gothic Book" w:hAnsi="Franklin Gothic Book"/>
          <w:i w:val="0"/>
          <w:color w:val="000000"/>
          <w:sz w:val="22"/>
          <w:szCs w:val="22"/>
          <w:lang w:val="en-US"/>
        </w:rPr>
        <w:t xml:space="preserve"> </w:t>
      </w:r>
      <w:r w:rsidR="004218AA">
        <w:rPr>
          <w:rStyle w:val="Emphasis"/>
          <w:rFonts w:ascii="Franklin Gothic Book" w:hAnsi="Franklin Gothic Book"/>
          <w:i w:val="0"/>
          <w:color w:val="000000"/>
          <w:sz w:val="22"/>
          <w:szCs w:val="22"/>
          <w:lang w:val="en-US"/>
        </w:rPr>
        <w:t xml:space="preserve">20, </w:t>
      </w:r>
      <w:r w:rsidR="00890EAA" w:rsidRPr="00FC077F">
        <w:rPr>
          <w:rStyle w:val="Emphasis"/>
          <w:rFonts w:ascii="Franklin Gothic Book" w:hAnsi="Franklin Gothic Book"/>
          <w:i w:val="0"/>
          <w:color w:val="000000"/>
          <w:sz w:val="22"/>
          <w:szCs w:val="22"/>
          <w:lang w:val="en-US"/>
        </w:rPr>
        <w:t>21</w:t>
      </w:r>
      <w:r w:rsidR="004218AA">
        <w:rPr>
          <w:rStyle w:val="Emphasis"/>
          <w:rFonts w:ascii="Franklin Gothic Book" w:hAnsi="Franklin Gothic Book"/>
          <w:i w:val="0"/>
          <w:color w:val="000000"/>
          <w:sz w:val="22"/>
          <w:szCs w:val="22"/>
          <w:lang w:val="en-US"/>
        </w:rPr>
        <w:t xml:space="preserve">, 24 and 47 </w:t>
      </w:r>
      <w:r w:rsidR="00890EAA" w:rsidRPr="00FC077F">
        <w:rPr>
          <w:rStyle w:val="Emphasis"/>
          <w:rFonts w:ascii="Franklin Gothic Book" w:hAnsi="Franklin Gothic Book"/>
          <w:i w:val="0"/>
          <w:color w:val="000000"/>
          <w:sz w:val="22"/>
          <w:szCs w:val="22"/>
          <w:lang w:val="en-US"/>
        </w:rPr>
        <w:t>of the EU Charter of Fundamental Rights.</w:t>
      </w:r>
      <w:r w:rsidR="00D005F1">
        <w:rPr>
          <w:rStyle w:val="Emphasis"/>
          <w:rFonts w:ascii="Franklin Gothic Book" w:hAnsi="Franklin Gothic Book"/>
          <w:i w:val="0"/>
          <w:color w:val="000000"/>
          <w:sz w:val="22"/>
          <w:szCs w:val="22"/>
          <w:lang w:val="en-US"/>
        </w:rPr>
        <w:t xml:space="preserve"> </w:t>
      </w:r>
    </w:p>
    <w:p w14:paraId="40479447" w14:textId="77777777" w:rsidR="00FF13A5" w:rsidRPr="00FC077F" w:rsidRDefault="00FF13A5">
      <w:pPr>
        <w:rPr>
          <w:rStyle w:val="Emphasis"/>
          <w:rFonts w:ascii="Franklin Gothic Book" w:eastAsia="Times New Roman" w:hAnsi="Franklin Gothic Book" w:cs="Times New Roman"/>
          <w:i w:val="0"/>
          <w:color w:val="000000"/>
          <w:lang w:val="en-US"/>
        </w:rPr>
      </w:pPr>
      <w:r w:rsidRPr="00FC077F">
        <w:rPr>
          <w:rStyle w:val="Emphasis"/>
          <w:rFonts w:ascii="Franklin Gothic Book" w:hAnsi="Franklin Gothic Book"/>
          <w:i w:val="0"/>
          <w:color w:val="000000"/>
          <w:lang w:val="en-US"/>
        </w:rPr>
        <w:br w:type="page"/>
      </w:r>
    </w:p>
    <w:p w14:paraId="1510435C" w14:textId="77777777" w:rsidR="00A31619" w:rsidRPr="00FC077F" w:rsidRDefault="00777F44" w:rsidP="00A31619">
      <w:pPr>
        <w:pStyle w:val="ListParagraph"/>
        <w:numPr>
          <w:ilvl w:val="0"/>
          <w:numId w:val="30"/>
        </w:numPr>
        <w:rPr>
          <w:rFonts w:ascii="Franklin Gothic Book" w:hAnsi="Franklin Gothic Book"/>
          <w:color w:val="2F5496" w:themeColor="accent1" w:themeShade="BF"/>
        </w:rPr>
      </w:pPr>
      <w:r w:rsidRPr="00FC077F">
        <w:rPr>
          <w:rFonts w:ascii="Franklin Gothic Book" w:hAnsi="Franklin Gothic Book"/>
          <w:color w:val="2F5496" w:themeColor="accent1" w:themeShade="BF"/>
        </w:rPr>
        <w:lastRenderedPageBreak/>
        <w:t>The name of the EU country and national, regional, or local authority or authorities that you believe have breached Union law:</w:t>
      </w:r>
    </w:p>
    <w:p w14:paraId="2BF4D28D" w14:textId="77777777" w:rsidR="00FF13A5" w:rsidRPr="00FC077F" w:rsidRDefault="00A31619" w:rsidP="00FF13A5">
      <w:pPr>
        <w:rPr>
          <w:rFonts w:ascii="Franklin Gothic Book" w:hAnsi="Franklin Gothic Book" w:cs="Times New Roman"/>
        </w:rPr>
      </w:pPr>
      <w:r w:rsidRPr="00FC077F">
        <w:rPr>
          <w:rFonts w:ascii="Franklin Gothic Book" w:hAnsi="Franklin Gothic Book" w:cs="Times New Roman"/>
        </w:rPr>
        <w:t>United Kingdom</w:t>
      </w:r>
      <w:r w:rsidR="00955D19">
        <w:rPr>
          <w:rFonts w:ascii="Franklin Gothic Book" w:hAnsi="Franklin Gothic Book" w:cs="Times New Roman"/>
        </w:rPr>
        <w:t xml:space="preserve">  </w:t>
      </w:r>
    </w:p>
    <w:p w14:paraId="6A3E328D" w14:textId="77777777" w:rsidR="00777F44" w:rsidRPr="00FC077F" w:rsidRDefault="00777F44" w:rsidP="00F671C6">
      <w:pPr>
        <w:pStyle w:val="ListParagraph"/>
        <w:numPr>
          <w:ilvl w:val="0"/>
          <w:numId w:val="30"/>
        </w:numPr>
        <w:rPr>
          <w:rFonts w:ascii="Franklin Gothic Book" w:hAnsi="Franklin Gothic Book"/>
          <w:color w:val="2F5496" w:themeColor="accent1" w:themeShade="BF"/>
        </w:rPr>
      </w:pPr>
      <w:r w:rsidRPr="00FC077F">
        <w:rPr>
          <w:rFonts w:ascii="Franklin Gothic Book" w:hAnsi="Franklin Gothic Book"/>
          <w:color w:val="2F5496" w:themeColor="accent1" w:themeShade="BF"/>
        </w:rPr>
        <w:t>Union laws (e.g. Treaties, regulations, directives, decisions and case law) or principles underpinning Union law that you believe to have been breached by the authorities of the EU country concerned:</w:t>
      </w:r>
    </w:p>
    <w:p w14:paraId="6F26486D" w14:textId="77777777" w:rsidR="00F671C6" w:rsidRPr="00FC077F" w:rsidRDefault="00F671C6" w:rsidP="00F671C6">
      <w:pPr>
        <w:pStyle w:val="ListParagraph"/>
        <w:rPr>
          <w:rFonts w:ascii="Franklin Gothic Book" w:hAnsi="Franklin Gothic Book"/>
          <w:color w:val="2F5496" w:themeColor="accent1" w:themeShade="BF"/>
        </w:rPr>
      </w:pPr>
    </w:p>
    <w:p w14:paraId="2AB56B72" w14:textId="77777777" w:rsidR="00A31619" w:rsidRPr="00FC077F" w:rsidRDefault="00A31619" w:rsidP="00A31619">
      <w:pPr>
        <w:pStyle w:val="ListParagraph"/>
        <w:numPr>
          <w:ilvl w:val="0"/>
          <w:numId w:val="3"/>
        </w:numPr>
        <w:spacing w:line="360" w:lineRule="auto"/>
        <w:jc w:val="both"/>
        <w:rPr>
          <w:rFonts w:ascii="Franklin Gothic Book" w:hAnsi="Franklin Gothic Book" w:cs="Times New Roman"/>
          <w:bCs/>
          <w:i/>
        </w:rPr>
      </w:pPr>
      <w:r w:rsidRPr="00FC077F">
        <w:rPr>
          <w:rFonts w:ascii="Franklin Gothic Book" w:hAnsi="Franklin Gothic Book" w:cs="Times New Roman"/>
          <w:bCs/>
          <w:i/>
        </w:rPr>
        <w:t>Treaty on the Functioning of the European Union</w:t>
      </w:r>
    </w:p>
    <w:p w14:paraId="0CE7B2FC" w14:textId="77777777" w:rsidR="00ED0DB4" w:rsidRPr="00FC077F" w:rsidRDefault="00ED0DB4" w:rsidP="00A31619">
      <w:pPr>
        <w:pStyle w:val="ListParagraph"/>
        <w:numPr>
          <w:ilvl w:val="0"/>
          <w:numId w:val="3"/>
        </w:numPr>
        <w:spacing w:line="360" w:lineRule="auto"/>
        <w:jc w:val="both"/>
        <w:rPr>
          <w:rFonts w:ascii="Franklin Gothic Book" w:hAnsi="Franklin Gothic Book" w:cs="Times New Roman"/>
          <w:bCs/>
          <w:i/>
        </w:rPr>
      </w:pPr>
      <w:r w:rsidRPr="00FC077F">
        <w:rPr>
          <w:rFonts w:ascii="Franklin Gothic Book" w:hAnsi="Franklin Gothic Book" w:cs="Times New Roman"/>
          <w:bCs/>
          <w:i/>
        </w:rPr>
        <w:t>EU Charter of Fundamental Rights</w:t>
      </w:r>
    </w:p>
    <w:p w14:paraId="2FCA145C" w14:textId="77777777" w:rsidR="00F671C6" w:rsidRDefault="00A31619" w:rsidP="00955D19">
      <w:pPr>
        <w:pStyle w:val="ListParagraph"/>
        <w:numPr>
          <w:ilvl w:val="0"/>
          <w:numId w:val="3"/>
        </w:numPr>
        <w:spacing w:line="360" w:lineRule="auto"/>
        <w:jc w:val="both"/>
        <w:rPr>
          <w:rFonts w:ascii="Franklin Gothic Book" w:hAnsi="Franklin Gothic Book" w:cs="Times New Roman"/>
          <w:bCs/>
          <w:i/>
        </w:rPr>
      </w:pPr>
      <w:r w:rsidRPr="00FC077F">
        <w:rPr>
          <w:rFonts w:ascii="Franklin Gothic Book" w:hAnsi="Franklin Gothic Book" w:cs="Times New Roman"/>
          <w:bCs/>
          <w:i/>
        </w:rPr>
        <w:t>European General Data Protection Regulation</w:t>
      </w:r>
    </w:p>
    <w:p w14:paraId="767BEAB4" w14:textId="77777777" w:rsidR="00955D19" w:rsidRPr="00955D19" w:rsidRDefault="00955D19" w:rsidP="00955D19">
      <w:pPr>
        <w:pStyle w:val="ListParagraph"/>
        <w:spacing w:line="360" w:lineRule="auto"/>
        <w:jc w:val="both"/>
        <w:rPr>
          <w:rFonts w:ascii="Franklin Gothic Book" w:hAnsi="Franklin Gothic Book" w:cs="Times New Roman"/>
          <w:bCs/>
          <w:i/>
        </w:rPr>
      </w:pPr>
    </w:p>
    <w:p w14:paraId="0AE80111" w14:textId="77777777" w:rsidR="002F73A8" w:rsidRDefault="00777F44" w:rsidP="004218AA">
      <w:pPr>
        <w:pStyle w:val="ListParagraph"/>
        <w:numPr>
          <w:ilvl w:val="0"/>
          <w:numId w:val="30"/>
        </w:numPr>
        <w:rPr>
          <w:rFonts w:ascii="Franklin Gothic Book" w:hAnsi="Franklin Gothic Book"/>
          <w:color w:val="2F5496" w:themeColor="accent1" w:themeShade="BF"/>
        </w:rPr>
      </w:pPr>
      <w:r w:rsidRPr="00FC077F">
        <w:rPr>
          <w:rFonts w:ascii="Franklin Gothic Book" w:hAnsi="Franklin Gothic Book"/>
          <w:color w:val="2F5496" w:themeColor="accent1" w:themeShade="BF"/>
        </w:rPr>
        <w:t>The specific national measures (national law or other regulatory or administrative measures) that you believe to infringe Union law, and why these breach Union law:</w:t>
      </w:r>
    </w:p>
    <w:p w14:paraId="017D9E74" w14:textId="77777777" w:rsidR="004218AA" w:rsidRPr="004218AA" w:rsidRDefault="004218AA" w:rsidP="004218AA">
      <w:pPr>
        <w:pStyle w:val="ListParagraph"/>
        <w:rPr>
          <w:rFonts w:ascii="Franklin Gothic Book" w:hAnsi="Franklin Gothic Book"/>
          <w:color w:val="2F5496" w:themeColor="accent1" w:themeShade="BF"/>
        </w:rPr>
      </w:pPr>
    </w:p>
    <w:p w14:paraId="4B34813C" w14:textId="77777777" w:rsidR="00A31619" w:rsidRPr="00FC077F" w:rsidRDefault="00A31619" w:rsidP="00A31619">
      <w:pPr>
        <w:pStyle w:val="ListParagraph"/>
        <w:numPr>
          <w:ilvl w:val="0"/>
          <w:numId w:val="4"/>
        </w:numPr>
        <w:spacing w:line="360" w:lineRule="auto"/>
        <w:jc w:val="both"/>
        <w:rPr>
          <w:rFonts w:ascii="Franklin Gothic Book" w:hAnsi="Franklin Gothic Book" w:cs="Times New Roman"/>
          <w:bCs/>
          <w:i/>
        </w:rPr>
      </w:pPr>
      <w:r w:rsidRPr="00FC077F">
        <w:rPr>
          <w:rFonts w:ascii="Franklin Gothic Book" w:hAnsi="Franklin Gothic Book" w:cs="Times New Roman"/>
          <w:bCs/>
          <w:i/>
        </w:rPr>
        <w:t>UK Data Protection Act 2018</w:t>
      </w:r>
    </w:p>
    <w:p w14:paraId="384EC45F" w14:textId="77777777" w:rsidR="00F671C6" w:rsidRPr="00FC077F" w:rsidRDefault="00F671C6" w:rsidP="00F671C6">
      <w:pPr>
        <w:pStyle w:val="ListParagraph"/>
        <w:spacing w:line="360" w:lineRule="auto"/>
        <w:jc w:val="both"/>
        <w:rPr>
          <w:rFonts w:ascii="Franklin Gothic Book" w:hAnsi="Franklin Gothic Book" w:cs="Times New Roman"/>
          <w:bCs/>
          <w:i/>
        </w:rPr>
      </w:pPr>
    </w:p>
    <w:p w14:paraId="40D05331" w14:textId="77777777" w:rsidR="00777F44" w:rsidRPr="00FC077F" w:rsidRDefault="00777F44" w:rsidP="00F671C6">
      <w:pPr>
        <w:pStyle w:val="ListParagraph"/>
        <w:numPr>
          <w:ilvl w:val="0"/>
          <w:numId w:val="30"/>
        </w:numPr>
        <w:rPr>
          <w:rFonts w:ascii="Franklin Gothic Book" w:hAnsi="Franklin Gothic Book"/>
          <w:color w:val="2F5496" w:themeColor="accent1" w:themeShade="BF"/>
        </w:rPr>
      </w:pPr>
      <w:r w:rsidRPr="00FC077F">
        <w:rPr>
          <w:rFonts w:ascii="Franklin Gothic Book" w:hAnsi="Franklin Gothic Book"/>
          <w:color w:val="2F5496" w:themeColor="accent1" w:themeShade="BF"/>
        </w:rPr>
        <w:t>Does the EU country concerned receive EU funding relating to the issue that prompted your complaint, or may it receive such funding in future?</w:t>
      </w:r>
    </w:p>
    <w:p w14:paraId="1314611C" w14:textId="77777777" w:rsidR="00777F44" w:rsidRPr="00FC077F" w:rsidRDefault="00A31619" w:rsidP="0060238E">
      <w:pPr>
        <w:spacing w:before="240" w:line="360" w:lineRule="auto"/>
        <w:jc w:val="both"/>
        <w:rPr>
          <w:rFonts w:ascii="Franklin Gothic Book" w:hAnsi="Franklin Gothic Book" w:cs="Times New Roman"/>
          <w:bCs/>
        </w:rPr>
      </w:pPr>
      <w:r w:rsidRPr="00FC077F">
        <w:rPr>
          <w:rFonts w:ascii="Franklin Gothic Book" w:hAnsi="Franklin Gothic Book" w:cs="Times New Roman"/>
          <w:bCs/>
        </w:rPr>
        <w:t>None identified</w:t>
      </w:r>
    </w:p>
    <w:p w14:paraId="0FDE2EA4" w14:textId="77777777" w:rsidR="00777F44" w:rsidRPr="00FC077F" w:rsidRDefault="00777F44" w:rsidP="00F671C6">
      <w:pPr>
        <w:pStyle w:val="ListParagraph"/>
        <w:numPr>
          <w:ilvl w:val="0"/>
          <w:numId w:val="30"/>
        </w:numPr>
        <w:rPr>
          <w:rFonts w:ascii="Franklin Gothic Book" w:hAnsi="Franklin Gothic Book"/>
          <w:color w:val="2F5496" w:themeColor="accent1" w:themeShade="BF"/>
        </w:rPr>
      </w:pPr>
      <w:r w:rsidRPr="00FC077F">
        <w:rPr>
          <w:rFonts w:ascii="Franklin Gothic Book" w:hAnsi="Franklin Gothic Book"/>
          <w:color w:val="2F5496" w:themeColor="accent1" w:themeShade="BF"/>
        </w:rPr>
        <w:t>What specific action are you requesting the European Commission should take?</w:t>
      </w:r>
    </w:p>
    <w:p w14:paraId="59AFF748" w14:textId="77777777" w:rsidR="00A31619" w:rsidRPr="00FC077F" w:rsidRDefault="00A31619" w:rsidP="0060238E">
      <w:pPr>
        <w:spacing w:before="240"/>
        <w:rPr>
          <w:rFonts w:ascii="Franklin Gothic Book" w:hAnsi="Franklin Gothic Book" w:cs="Times New Roman"/>
        </w:rPr>
      </w:pPr>
      <w:r w:rsidRPr="00FC077F">
        <w:rPr>
          <w:rFonts w:ascii="Franklin Gothic Book" w:hAnsi="Franklin Gothic Book" w:cs="Times New Roman"/>
        </w:rPr>
        <w:t>We respectfully call upon the European Commission to launch an urgent investigation into this matter and to take appropriate measures to ensure respect by the United Kingdom of its Treaty obligations.</w:t>
      </w:r>
    </w:p>
    <w:p w14:paraId="4EAE7DB7" w14:textId="77777777" w:rsidR="00F606F8" w:rsidRPr="00FC077F" w:rsidRDefault="00F606F8" w:rsidP="00F606F8">
      <w:pPr>
        <w:jc w:val="both"/>
        <w:rPr>
          <w:rFonts w:ascii="Franklin Gothic Book" w:hAnsi="Franklin Gothic Book" w:cs="Times New Roman"/>
        </w:rPr>
      </w:pPr>
      <w:r w:rsidRPr="00FC077F">
        <w:rPr>
          <w:rFonts w:ascii="Franklin Gothic Book" w:hAnsi="Franklin Gothic Book" w:cs="Times New Roman"/>
        </w:rPr>
        <w:t>We also request the European Commission apply for interim measures before the Court of Justice of the European Union in accordance with Article 279 TFEU and Article 29 of Protocol (No 3) on the Statute of the Court of Justice of the European Union, with a view to obtaining an order directed to the United Kingdom ordering it to suspe</w:t>
      </w:r>
      <w:r w:rsidR="006575D0" w:rsidRPr="00FC077F">
        <w:rPr>
          <w:rFonts w:ascii="Franklin Gothic Book" w:hAnsi="Franklin Gothic Book" w:cs="Times New Roman"/>
        </w:rPr>
        <w:t>nd</w:t>
      </w:r>
      <w:r w:rsidRPr="00FC077F">
        <w:rPr>
          <w:rFonts w:ascii="Franklin Gothic Book" w:hAnsi="Franklin Gothic Book" w:cs="Times New Roman"/>
        </w:rPr>
        <w:t xml:space="preserve"> the operation of the UK rules on data protection while the Commission’s investigation in pending.</w:t>
      </w:r>
    </w:p>
    <w:p w14:paraId="1719B94A" w14:textId="77777777" w:rsidR="00F606F8" w:rsidRPr="00FC077F" w:rsidRDefault="00F606F8" w:rsidP="00F606F8">
      <w:pPr>
        <w:spacing w:before="240"/>
        <w:jc w:val="both"/>
        <w:rPr>
          <w:rFonts w:ascii="Franklin Gothic Book" w:hAnsi="Franklin Gothic Book" w:cs="Times New Roman"/>
        </w:rPr>
      </w:pPr>
      <w:r w:rsidRPr="00FC077F">
        <w:rPr>
          <w:rFonts w:ascii="Franklin Gothic Book" w:hAnsi="Franklin Gothic Book" w:cs="Times New Roman"/>
        </w:rPr>
        <w:t xml:space="preserve">We further request that the </w:t>
      </w:r>
      <w:r w:rsidRPr="00FC077F">
        <w:rPr>
          <w:rStyle w:val="Emphasis"/>
          <w:rFonts w:ascii="Franklin Gothic Book" w:hAnsi="Franklin Gothic Book" w:cs="Times New Roman"/>
          <w:i w:val="0"/>
          <w:color w:val="000000"/>
          <w:lang w:val="en-US"/>
        </w:rPr>
        <w:t>European Commission take due account of the above in its assessment of the future adequacy of the UK’s data protection arrangements for the free flow of data between the UK and the EU.</w:t>
      </w:r>
    </w:p>
    <w:p w14:paraId="50E5FD43" w14:textId="77777777" w:rsidR="00777F44" w:rsidRPr="00FC077F" w:rsidRDefault="00777F44" w:rsidP="00777F44">
      <w:pPr>
        <w:ind w:left="567" w:hanging="567"/>
        <w:jc w:val="both"/>
        <w:rPr>
          <w:rFonts w:ascii="Franklin Gothic Book" w:hAnsi="Franklin Gothic Book" w:cs="Times New Roman"/>
          <w:bCs/>
        </w:rPr>
      </w:pPr>
    </w:p>
    <w:p w14:paraId="2231C1B8" w14:textId="77777777" w:rsidR="00777F44" w:rsidRPr="00FC077F" w:rsidRDefault="00777F44" w:rsidP="00DD417E">
      <w:pPr>
        <w:pStyle w:val="Heading2"/>
      </w:pPr>
      <w:bookmarkStart w:id="38" w:name="_Toc10494476"/>
      <w:r w:rsidRPr="00FC077F">
        <w:t>Does your complaint relate to the EU Charter of Fundamental Rights, which applies only to the implementation of Union law (Article 51)?</w:t>
      </w:r>
      <w:bookmarkEnd w:id="38"/>
    </w:p>
    <w:p w14:paraId="69E1632B" w14:textId="77777777" w:rsidR="00777F44" w:rsidRPr="00FC077F" w:rsidRDefault="00777F44" w:rsidP="00777F44">
      <w:pPr>
        <w:ind w:left="567" w:hanging="567"/>
        <w:jc w:val="both"/>
        <w:rPr>
          <w:rFonts w:ascii="Franklin Gothic Book" w:hAnsi="Franklin Gothic Book" w:cs="Times New Roman"/>
          <w:bCs/>
        </w:rPr>
      </w:pPr>
    </w:p>
    <w:p w14:paraId="06A652B9" w14:textId="77777777" w:rsidR="00FF13A5" w:rsidRPr="00FC077F" w:rsidRDefault="00516F4F" w:rsidP="00777F44">
      <w:pPr>
        <w:ind w:left="567" w:hanging="567"/>
        <w:jc w:val="both"/>
        <w:rPr>
          <w:rFonts w:ascii="Franklin Gothic Book" w:hAnsi="Franklin Gothic Book" w:cs="Times New Roman"/>
          <w:bCs/>
          <w:i/>
        </w:rPr>
      </w:pPr>
      <w:r w:rsidRPr="00FC077F">
        <w:rPr>
          <w:rFonts w:ascii="Franklin Gothic Book" w:hAnsi="Franklin Gothic Book" w:cs="Times New Roman"/>
          <w:bCs/>
          <w:i/>
        </w:rPr>
        <w:t>Article 7 (respect for private and family life)</w:t>
      </w:r>
    </w:p>
    <w:p w14:paraId="35C03E7A" w14:textId="77777777" w:rsidR="00FF13A5" w:rsidRPr="00FC077F" w:rsidRDefault="00FF13A5" w:rsidP="00777F44">
      <w:pPr>
        <w:ind w:left="567" w:hanging="567"/>
        <w:jc w:val="both"/>
        <w:rPr>
          <w:rFonts w:ascii="Franklin Gothic Book" w:hAnsi="Franklin Gothic Book" w:cs="Times New Roman"/>
          <w:bCs/>
          <w:i/>
        </w:rPr>
      </w:pPr>
      <w:r w:rsidRPr="00FC077F">
        <w:rPr>
          <w:rFonts w:ascii="Franklin Gothic Book" w:hAnsi="Franklin Gothic Book" w:cs="Times New Roman"/>
          <w:bCs/>
          <w:i/>
        </w:rPr>
        <w:t>Article 8</w:t>
      </w:r>
      <w:r w:rsidR="00516F4F" w:rsidRPr="00FC077F">
        <w:rPr>
          <w:rFonts w:ascii="Franklin Gothic Book" w:hAnsi="Franklin Gothic Book" w:cs="Times New Roman"/>
          <w:bCs/>
          <w:i/>
        </w:rPr>
        <w:t xml:space="preserve"> (protection of personal data)</w:t>
      </w:r>
    </w:p>
    <w:p w14:paraId="2B299BCC" w14:textId="77777777" w:rsidR="00516F4F" w:rsidRPr="00FC077F" w:rsidRDefault="00516F4F" w:rsidP="00777F44">
      <w:pPr>
        <w:ind w:left="567" w:hanging="567"/>
        <w:jc w:val="both"/>
        <w:rPr>
          <w:rFonts w:ascii="Franklin Gothic Book" w:hAnsi="Franklin Gothic Book" w:cs="Times New Roman"/>
          <w:bCs/>
          <w:i/>
        </w:rPr>
      </w:pPr>
      <w:r w:rsidRPr="00FC077F">
        <w:rPr>
          <w:rFonts w:ascii="Franklin Gothic Book" w:hAnsi="Franklin Gothic Book" w:cs="Times New Roman"/>
          <w:bCs/>
          <w:i/>
        </w:rPr>
        <w:t>Article 20 (equality before the law)</w:t>
      </w:r>
    </w:p>
    <w:p w14:paraId="764AB3E7" w14:textId="77777777" w:rsidR="00FF13A5" w:rsidRPr="00FC077F" w:rsidRDefault="00FF13A5" w:rsidP="00777F44">
      <w:pPr>
        <w:ind w:left="567" w:hanging="567"/>
        <w:jc w:val="both"/>
        <w:rPr>
          <w:rFonts w:ascii="Franklin Gothic Book" w:hAnsi="Franklin Gothic Book" w:cs="Times New Roman"/>
          <w:bCs/>
          <w:i/>
        </w:rPr>
      </w:pPr>
      <w:r w:rsidRPr="00FC077F">
        <w:rPr>
          <w:rFonts w:ascii="Franklin Gothic Book" w:hAnsi="Franklin Gothic Book" w:cs="Times New Roman"/>
          <w:bCs/>
          <w:i/>
        </w:rPr>
        <w:t>Article 21</w:t>
      </w:r>
      <w:r w:rsidR="00516F4F" w:rsidRPr="00FC077F">
        <w:rPr>
          <w:rFonts w:ascii="Franklin Gothic Book" w:hAnsi="Franklin Gothic Book" w:cs="Times New Roman"/>
          <w:bCs/>
          <w:i/>
        </w:rPr>
        <w:t xml:space="preserve"> (non-discrimination)</w:t>
      </w:r>
    </w:p>
    <w:p w14:paraId="2AE49A1C" w14:textId="77777777" w:rsidR="00516F4F" w:rsidRPr="00FC077F" w:rsidRDefault="00516F4F" w:rsidP="00777F44">
      <w:pPr>
        <w:ind w:left="567" w:hanging="567"/>
        <w:jc w:val="both"/>
        <w:rPr>
          <w:rFonts w:ascii="Franklin Gothic Book" w:hAnsi="Franklin Gothic Book" w:cs="Times New Roman"/>
          <w:bCs/>
          <w:i/>
        </w:rPr>
      </w:pPr>
      <w:r w:rsidRPr="00FC077F">
        <w:rPr>
          <w:rFonts w:ascii="Franklin Gothic Book" w:hAnsi="Franklin Gothic Book" w:cs="Times New Roman"/>
          <w:bCs/>
          <w:i/>
        </w:rPr>
        <w:lastRenderedPageBreak/>
        <w:t>Article 24 (rights of the child)</w:t>
      </w:r>
    </w:p>
    <w:p w14:paraId="1EF8DAF2" w14:textId="77777777" w:rsidR="00516F4F" w:rsidRPr="00FC077F" w:rsidRDefault="00516F4F" w:rsidP="004218AA">
      <w:pPr>
        <w:ind w:left="567" w:hanging="567"/>
        <w:jc w:val="both"/>
        <w:rPr>
          <w:rFonts w:ascii="Franklin Gothic Book" w:hAnsi="Franklin Gothic Book" w:cs="Times New Roman"/>
          <w:bCs/>
          <w:i/>
        </w:rPr>
      </w:pPr>
      <w:r w:rsidRPr="00FC077F">
        <w:rPr>
          <w:rFonts w:ascii="Franklin Gothic Book" w:hAnsi="Franklin Gothic Book" w:cs="Times New Roman"/>
          <w:bCs/>
          <w:i/>
        </w:rPr>
        <w:t>Article 47 (right to an effective remedy and to fair trial)</w:t>
      </w:r>
    </w:p>
    <w:p w14:paraId="4BF44749" w14:textId="77777777" w:rsidR="0008548C" w:rsidRPr="0008548C" w:rsidRDefault="00777F44" w:rsidP="0008548C">
      <w:pPr>
        <w:pStyle w:val="Heading2"/>
      </w:pPr>
      <w:bookmarkStart w:id="39" w:name="_Toc10494477"/>
      <w:r w:rsidRPr="00FC077F">
        <w:t>If possible, please provide a list of documents or evidence in support of your complaint (including the national measures concerned) that you can send to the Commission if it so requests:</w:t>
      </w:r>
      <w:bookmarkEnd w:id="39"/>
    </w:p>
    <w:p w14:paraId="755F9F65" w14:textId="77777777" w:rsidR="0008548C" w:rsidRPr="0008548C" w:rsidRDefault="0008548C" w:rsidP="0008548C">
      <w:pPr>
        <w:pStyle w:val="ListParagraph"/>
        <w:ind w:left="360"/>
        <w:jc w:val="both"/>
        <w:rPr>
          <w:rFonts w:ascii="Franklin Gothic Book" w:hAnsi="Franklin Gothic Book"/>
          <w:lang w:val="en-US"/>
        </w:rPr>
      </w:pPr>
    </w:p>
    <w:p w14:paraId="7072EAC3" w14:textId="77777777" w:rsidR="006575D0" w:rsidRPr="00FC077F" w:rsidRDefault="006575D0" w:rsidP="006575D0">
      <w:pPr>
        <w:pStyle w:val="ListParagraph"/>
        <w:numPr>
          <w:ilvl w:val="0"/>
          <w:numId w:val="33"/>
        </w:numPr>
        <w:jc w:val="both"/>
        <w:rPr>
          <w:rFonts w:ascii="Franklin Gothic Book" w:hAnsi="Franklin Gothic Book"/>
          <w:lang w:val="en-US"/>
        </w:rPr>
      </w:pPr>
      <w:r w:rsidRPr="00FC077F">
        <w:rPr>
          <w:rFonts w:ascii="Franklin Gothic Book" w:hAnsi="Franklin Gothic Book"/>
          <w:i/>
          <w:lang w:val="en-US"/>
        </w:rPr>
        <w:t>A Guide to Hostile Environment. The border controls dividing our communities – and how can we bring them down</w:t>
      </w:r>
      <w:r w:rsidRPr="00FC077F">
        <w:rPr>
          <w:rFonts w:ascii="Franklin Gothic Book" w:hAnsi="Franklin Gothic Book"/>
          <w:lang w:val="en-US"/>
        </w:rPr>
        <w:t>, Edited by LIBERTY, April 2018, available at &lt;</w:t>
      </w:r>
      <w:r w:rsidRPr="00FC077F">
        <w:rPr>
          <w:rFonts w:ascii="Franklin Gothic Book" w:hAnsi="Franklin Gothic Book"/>
        </w:rPr>
        <w:t xml:space="preserve"> </w:t>
      </w:r>
      <w:hyperlink r:id="rId9" w:history="1">
        <w:r w:rsidRPr="00FC077F">
          <w:rPr>
            <w:rStyle w:val="Hyperlink"/>
            <w:rFonts w:ascii="Franklin Gothic Book" w:hAnsi="Franklin Gothic Book"/>
          </w:rPr>
          <w:t>https://www.libertyhumanrights.org.uk/sites/default/files/HE%20web.pdf</w:t>
        </w:r>
      </w:hyperlink>
      <w:r w:rsidRPr="00FC077F">
        <w:rPr>
          <w:rFonts w:ascii="Franklin Gothic Book" w:hAnsi="Franklin Gothic Book"/>
          <w:lang w:val="en-US"/>
        </w:rPr>
        <w:t>&gt;.</w:t>
      </w:r>
    </w:p>
    <w:p w14:paraId="03A52B76" w14:textId="77777777" w:rsidR="006575D0" w:rsidRPr="00FC077F" w:rsidRDefault="006575D0" w:rsidP="006575D0">
      <w:pPr>
        <w:pStyle w:val="ListParagraph"/>
        <w:numPr>
          <w:ilvl w:val="0"/>
          <w:numId w:val="33"/>
        </w:numPr>
        <w:jc w:val="both"/>
        <w:rPr>
          <w:rFonts w:ascii="Franklin Gothic Book" w:hAnsi="Franklin Gothic Book"/>
          <w:lang w:val="en-US"/>
        </w:rPr>
      </w:pPr>
      <w:r w:rsidRPr="00FC077F">
        <w:rPr>
          <w:rFonts w:ascii="Franklin Gothic Book" w:hAnsi="Franklin Gothic Book"/>
          <w:i/>
          <w:lang w:val="en-US"/>
        </w:rPr>
        <w:t>“No Passport Equals No Home”: An independent evaluation of the ‘Right to Rent’ scheme</w:t>
      </w:r>
      <w:r w:rsidRPr="00FC077F">
        <w:rPr>
          <w:rFonts w:ascii="Franklin Gothic Book" w:hAnsi="Franklin Gothic Book"/>
          <w:lang w:val="en-US"/>
        </w:rPr>
        <w:t>, Joint Council for Welfare of Immigrants, September 2015, available at &lt;</w:t>
      </w:r>
      <w:r w:rsidRPr="00FC077F">
        <w:rPr>
          <w:rFonts w:ascii="Franklin Gothic Book" w:hAnsi="Franklin Gothic Book"/>
        </w:rPr>
        <w:t xml:space="preserve"> </w:t>
      </w:r>
      <w:hyperlink r:id="rId10" w:history="1">
        <w:r w:rsidRPr="00FC077F">
          <w:rPr>
            <w:rStyle w:val="Hyperlink"/>
            <w:rFonts w:ascii="Franklin Gothic Book" w:hAnsi="Franklin Gothic Book"/>
          </w:rPr>
          <w:t>https://www.jcwi.org.uk/Handlers/Download.ashx?IDMF=5ab15f33-ae32-4e66-b040-402b71392177</w:t>
        </w:r>
      </w:hyperlink>
      <w:r w:rsidRPr="00FC077F">
        <w:rPr>
          <w:rFonts w:ascii="Franklin Gothic Book" w:hAnsi="Franklin Gothic Book"/>
          <w:lang w:val="en-US"/>
        </w:rPr>
        <w:t xml:space="preserve">&gt;. </w:t>
      </w:r>
    </w:p>
    <w:p w14:paraId="728101A4" w14:textId="77777777" w:rsidR="006575D0" w:rsidRPr="00FC077F" w:rsidRDefault="006575D0" w:rsidP="006575D0">
      <w:pPr>
        <w:pStyle w:val="ListParagraph"/>
        <w:numPr>
          <w:ilvl w:val="0"/>
          <w:numId w:val="33"/>
        </w:numPr>
        <w:jc w:val="both"/>
        <w:rPr>
          <w:rFonts w:ascii="Franklin Gothic Book" w:hAnsi="Franklin Gothic Book"/>
          <w:lang w:val="en-US"/>
        </w:rPr>
      </w:pPr>
      <w:r w:rsidRPr="00FC077F">
        <w:rPr>
          <w:rFonts w:ascii="Franklin Gothic Book" w:hAnsi="Franklin Gothic Book"/>
          <w:i/>
        </w:rPr>
        <w:t>The hostile environment for immigrants How Theresa May has created an underclass in the UK</w:t>
      </w:r>
      <w:r w:rsidRPr="00FC077F">
        <w:rPr>
          <w:rFonts w:ascii="Franklin Gothic Book" w:hAnsi="Franklin Gothic Book"/>
          <w:lang w:val="en-US"/>
        </w:rPr>
        <w:t>, Global Justice Now,</w:t>
      </w:r>
      <w:r w:rsidRPr="00FC077F">
        <w:rPr>
          <w:rFonts w:ascii="Franklin Gothic Book" w:hAnsi="Franklin Gothic Book"/>
        </w:rPr>
        <w:t xml:space="preserve"> February 2018</w:t>
      </w:r>
      <w:r w:rsidRPr="00FC077F">
        <w:rPr>
          <w:rFonts w:ascii="Franklin Gothic Book" w:hAnsi="Franklin Gothic Book"/>
          <w:lang w:val="en-US"/>
        </w:rPr>
        <w:t>, available at &lt;</w:t>
      </w:r>
      <w:r w:rsidRPr="00FC077F">
        <w:rPr>
          <w:rFonts w:ascii="Franklin Gothic Book" w:hAnsi="Franklin Gothic Book"/>
        </w:rPr>
        <w:t xml:space="preserve"> </w:t>
      </w:r>
      <w:hyperlink r:id="rId11" w:history="1">
        <w:r w:rsidRPr="00FC077F">
          <w:rPr>
            <w:rStyle w:val="Hyperlink"/>
            <w:rFonts w:ascii="Franklin Gothic Book" w:hAnsi="Franklin Gothic Book"/>
          </w:rPr>
          <w:t>https://www.globaljustice.org.uk/sites/default/files/files/resources/hostile_environment_briefing_feb_2018_web.pdf</w:t>
        </w:r>
      </w:hyperlink>
      <w:r w:rsidRPr="00FC077F">
        <w:rPr>
          <w:rFonts w:ascii="Franklin Gothic Book" w:hAnsi="Franklin Gothic Book"/>
          <w:lang w:val="en-US"/>
        </w:rPr>
        <w:t>&gt;.</w:t>
      </w:r>
    </w:p>
    <w:p w14:paraId="5A28DE1F" w14:textId="77777777" w:rsidR="006575D0" w:rsidRPr="00FC077F" w:rsidRDefault="006575D0" w:rsidP="006575D0">
      <w:pPr>
        <w:pStyle w:val="ListParagraph"/>
        <w:numPr>
          <w:ilvl w:val="0"/>
          <w:numId w:val="33"/>
        </w:numPr>
        <w:jc w:val="both"/>
        <w:rPr>
          <w:rFonts w:ascii="Franklin Gothic Book" w:hAnsi="Franklin Gothic Book"/>
          <w:lang w:val="en-US"/>
        </w:rPr>
      </w:pPr>
      <w:r w:rsidRPr="00FC077F">
        <w:rPr>
          <w:rFonts w:ascii="Franklin Gothic Book" w:hAnsi="Franklin Gothic Book"/>
          <w:lang w:val="en-US"/>
        </w:rPr>
        <w:t>Judgement from 1 March 2019 of England and Wales High Court (Administrative Court) Decisions, before: MR JUSTICE MARTIN PENCER, between: R (Joint Council for the Welfare of Immigrants) and Secretary of State for the Home Department, available at &lt;</w:t>
      </w:r>
      <w:r w:rsidRPr="00FC077F">
        <w:rPr>
          <w:rFonts w:ascii="Franklin Gothic Book" w:hAnsi="Franklin Gothic Book"/>
        </w:rPr>
        <w:t xml:space="preserve"> </w:t>
      </w:r>
      <w:hyperlink r:id="rId12" w:history="1">
        <w:r w:rsidRPr="00FC077F">
          <w:rPr>
            <w:rStyle w:val="Hyperlink"/>
            <w:rFonts w:ascii="Franklin Gothic Book" w:hAnsi="Franklin Gothic Book"/>
          </w:rPr>
          <w:t>https://www.bailii.org/ew/cases/EWHC/Admin/2019/452.html</w:t>
        </w:r>
      </w:hyperlink>
      <w:r w:rsidRPr="00FC077F">
        <w:rPr>
          <w:rFonts w:ascii="Franklin Gothic Book" w:hAnsi="Franklin Gothic Book"/>
          <w:lang w:val="en-US"/>
        </w:rPr>
        <w:t>&gt;.</w:t>
      </w:r>
    </w:p>
    <w:p w14:paraId="6CDE3AAD" w14:textId="77777777" w:rsidR="006575D0" w:rsidRPr="00FC077F" w:rsidRDefault="006575D0" w:rsidP="006575D0">
      <w:pPr>
        <w:pStyle w:val="ListParagraph"/>
        <w:numPr>
          <w:ilvl w:val="0"/>
          <w:numId w:val="33"/>
        </w:numPr>
        <w:jc w:val="both"/>
        <w:rPr>
          <w:rFonts w:ascii="Franklin Gothic Book" w:hAnsi="Franklin Gothic Book"/>
          <w:lang w:val="en-US"/>
        </w:rPr>
      </w:pPr>
      <w:r w:rsidRPr="00FC077F">
        <w:rPr>
          <w:rFonts w:ascii="Franklin Gothic Book" w:hAnsi="Franklin Gothic Book"/>
        </w:rPr>
        <w:t>House of Commons Home Affairs Committee Immigration policy: basis for building consensus Second Report of Session 2017–19</w:t>
      </w:r>
      <w:r w:rsidRPr="00FC077F">
        <w:rPr>
          <w:rFonts w:ascii="Franklin Gothic Book" w:hAnsi="Franklin Gothic Book"/>
          <w:lang w:val="en-US"/>
        </w:rPr>
        <w:t>, available at &lt;</w:t>
      </w:r>
      <w:hyperlink r:id="rId13" w:history="1">
        <w:r w:rsidRPr="00FC077F">
          <w:rPr>
            <w:rStyle w:val="Hyperlink"/>
            <w:rFonts w:ascii="Franklin Gothic Book" w:hAnsi="Franklin Gothic Book"/>
          </w:rPr>
          <w:t>https://publications.parliament.uk/pa/cm201719/cmselect/cmhaff/500/500.pdf</w:t>
        </w:r>
      </w:hyperlink>
      <w:r w:rsidRPr="00FC077F">
        <w:rPr>
          <w:rFonts w:ascii="Franklin Gothic Book" w:hAnsi="Franklin Gothic Book"/>
          <w:lang w:val="en-US"/>
        </w:rPr>
        <w:t>&gt;.</w:t>
      </w:r>
    </w:p>
    <w:p w14:paraId="247E02E0" w14:textId="77777777" w:rsidR="006575D0" w:rsidRPr="00FC077F" w:rsidRDefault="006575D0" w:rsidP="006575D0">
      <w:pPr>
        <w:pStyle w:val="ListParagraph"/>
        <w:numPr>
          <w:ilvl w:val="0"/>
          <w:numId w:val="33"/>
        </w:numPr>
        <w:jc w:val="both"/>
        <w:rPr>
          <w:rFonts w:ascii="Franklin Gothic Book" w:hAnsi="Franklin Gothic Book"/>
          <w:lang w:val="en-US"/>
        </w:rPr>
      </w:pPr>
      <w:r w:rsidRPr="00FC077F">
        <w:rPr>
          <w:rFonts w:ascii="Franklin Gothic Book" w:hAnsi="Franklin Gothic Book"/>
          <w:i/>
          <w:lang w:val="en-US"/>
        </w:rPr>
        <w:t>The Right to Rent Scheme and the Impact on the Private Rented Sector</w:t>
      </w:r>
      <w:r w:rsidRPr="00FC077F">
        <w:rPr>
          <w:rFonts w:ascii="Franklin Gothic Book" w:hAnsi="Franklin Gothic Book"/>
          <w:lang w:val="en-US"/>
        </w:rPr>
        <w:t xml:space="preserve">, Noora </w:t>
      </w:r>
      <w:proofErr w:type="spellStart"/>
      <w:r w:rsidRPr="00FC077F">
        <w:rPr>
          <w:rFonts w:ascii="Franklin Gothic Book" w:hAnsi="Franklin Gothic Book"/>
          <w:lang w:val="en-US"/>
        </w:rPr>
        <w:t>Mykkanen</w:t>
      </w:r>
      <w:proofErr w:type="spellEnd"/>
      <w:r w:rsidRPr="00FC077F">
        <w:rPr>
          <w:rFonts w:ascii="Franklin Gothic Book" w:hAnsi="Franklin Gothic Book"/>
          <w:lang w:val="en-US"/>
        </w:rPr>
        <w:t xml:space="preserve">, Dr Tom Simcock, </w:t>
      </w:r>
      <w:r w:rsidRPr="00FC077F">
        <w:rPr>
          <w:rFonts w:ascii="Franklin Gothic Book" w:hAnsi="Franklin Gothic Book"/>
        </w:rPr>
        <w:t>Residential Landlords Association</w:t>
      </w:r>
      <w:r w:rsidRPr="00FC077F">
        <w:rPr>
          <w:rFonts w:ascii="Franklin Gothic Book" w:hAnsi="Franklin Gothic Book"/>
          <w:lang w:val="en-US"/>
        </w:rPr>
        <w:t>, December 2018, available at &lt;</w:t>
      </w:r>
      <w:hyperlink r:id="rId14" w:history="1">
        <w:r w:rsidRPr="00FC077F">
          <w:rPr>
            <w:rStyle w:val="Hyperlink"/>
            <w:rFonts w:ascii="Franklin Gothic Book" w:hAnsi="Franklin Gothic Book"/>
          </w:rPr>
          <w:t>https://research.rla.org.uk/wp-content/uploads/right-to-rent-impact-private-renting-2018.pdf</w:t>
        </w:r>
      </w:hyperlink>
      <w:r w:rsidRPr="00FC077F">
        <w:rPr>
          <w:rFonts w:ascii="Franklin Gothic Book" w:hAnsi="Franklin Gothic Book"/>
          <w:lang w:val="en-US"/>
        </w:rPr>
        <w:t xml:space="preserve">&gt; </w:t>
      </w:r>
    </w:p>
    <w:p w14:paraId="114100F4" w14:textId="77777777" w:rsidR="006575D0" w:rsidRPr="00FC077F" w:rsidRDefault="006575D0" w:rsidP="006575D0">
      <w:pPr>
        <w:pStyle w:val="ListParagraph"/>
        <w:numPr>
          <w:ilvl w:val="0"/>
          <w:numId w:val="33"/>
        </w:numPr>
        <w:jc w:val="both"/>
        <w:rPr>
          <w:rFonts w:ascii="Franklin Gothic Book" w:hAnsi="Franklin Gothic Book"/>
          <w:lang w:val="en-US"/>
        </w:rPr>
      </w:pPr>
      <w:r w:rsidRPr="00FC077F">
        <w:rPr>
          <w:rFonts w:ascii="Franklin Gothic Book" w:hAnsi="Franklin Gothic Book"/>
          <w:i/>
          <w:lang w:val="en-US"/>
        </w:rPr>
        <w:t xml:space="preserve">Care don’t share, </w:t>
      </w:r>
      <w:r w:rsidRPr="00FC077F">
        <w:rPr>
          <w:rFonts w:ascii="Franklin Gothic Book" w:hAnsi="Franklin Gothic Book"/>
          <w:lang w:val="en-US"/>
        </w:rPr>
        <w:t>Liberty, December 2018, available at &lt;</w:t>
      </w:r>
      <w:hyperlink r:id="rId15" w:history="1">
        <w:r w:rsidRPr="00FC077F">
          <w:rPr>
            <w:rStyle w:val="Hyperlink"/>
            <w:rFonts w:ascii="Franklin Gothic Book" w:hAnsi="Franklin Gothic Book"/>
          </w:rPr>
          <w:t>https://www.libertyhumanrights.org.uk/sites/default/files/Liberty%20%27Care%20Don%27t%20Share%27%20Report%20280119%20RGB.pdf</w:t>
        </w:r>
      </w:hyperlink>
      <w:r w:rsidRPr="00FC077F">
        <w:rPr>
          <w:rFonts w:ascii="Franklin Gothic Book" w:hAnsi="Franklin Gothic Book"/>
          <w:lang w:val="en-US"/>
        </w:rPr>
        <w:t>&gt;.</w:t>
      </w:r>
    </w:p>
    <w:p w14:paraId="05CE3F40" w14:textId="77777777" w:rsidR="00777F44" w:rsidRPr="00FC077F" w:rsidRDefault="006575D0" w:rsidP="00777F44">
      <w:pPr>
        <w:pStyle w:val="ListParagraph"/>
        <w:numPr>
          <w:ilvl w:val="0"/>
          <w:numId w:val="33"/>
        </w:numPr>
        <w:jc w:val="both"/>
        <w:rPr>
          <w:rFonts w:ascii="Franklin Gothic Book" w:hAnsi="Franklin Gothic Book"/>
          <w:lang w:val="en-US"/>
        </w:rPr>
      </w:pPr>
      <w:r w:rsidRPr="00FC077F">
        <w:rPr>
          <w:rFonts w:ascii="Franklin Gothic Book" w:hAnsi="Franklin Gothic Book"/>
          <w:lang w:val="en-US"/>
        </w:rPr>
        <w:t>Migrants’ Rights Network (Claimant) and The Secretary of State for the Home Department and The Secretary of State for Health (Defendants), Statement of Facts and Grounds, The High Court of Justice, Queen’s Bench Division, Administrative Court.</w:t>
      </w:r>
    </w:p>
    <w:p w14:paraId="545D2CFA" w14:textId="77777777" w:rsidR="00777F44" w:rsidRPr="00FC077F" w:rsidRDefault="00777F44" w:rsidP="005E7905">
      <w:pPr>
        <w:pStyle w:val="Heading1"/>
        <w:rPr>
          <w:szCs w:val="22"/>
        </w:rPr>
      </w:pPr>
      <w:bookmarkStart w:id="40" w:name="_Toc10494478"/>
      <w:r w:rsidRPr="00FC077F">
        <w:rPr>
          <w:szCs w:val="22"/>
        </w:rPr>
        <w:t>APPEALS / LEGAL ACTIONS / OTHER ACTIONS</w:t>
      </w:r>
      <w:bookmarkEnd w:id="40"/>
    </w:p>
    <w:p w14:paraId="15934B8A" w14:textId="77777777" w:rsidR="00777F44" w:rsidRPr="00FC077F" w:rsidRDefault="00777F44" w:rsidP="00777F44">
      <w:pPr>
        <w:jc w:val="both"/>
        <w:rPr>
          <w:rFonts w:ascii="Franklin Gothic Book" w:hAnsi="Franklin Gothic Book" w:cs="Times New Roman"/>
          <w:bCs/>
        </w:rPr>
      </w:pPr>
    </w:p>
    <w:p w14:paraId="4EC5A301" w14:textId="77777777" w:rsidR="00777F44" w:rsidRPr="00FC077F" w:rsidRDefault="00777F44" w:rsidP="00777F44">
      <w:pPr>
        <w:ind w:left="567" w:hanging="567"/>
        <w:jc w:val="both"/>
        <w:rPr>
          <w:rFonts w:ascii="Franklin Gothic Book" w:hAnsi="Franklin Gothic Book" w:cs="Times New Roman"/>
          <w:b/>
          <w:bCs/>
        </w:rPr>
      </w:pPr>
      <w:r w:rsidRPr="00FC077F">
        <w:rPr>
          <w:rFonts w:ascii="Franklin Gothic Book" w:hAnsi="Franklin Gothic Book" w:cs="Times New Roman"/>
          <w:b/>
          <w:bCs/>
        </w:rPr>
        <w:t>7.</w:t>
      </w:r>
      <w:r w:rsidRPr="00FC077F">
        <w:rPr>
          <w:rFonts w:ascii="Franklin Gothic Book" w:hAnsi="Franklin Gothic Book" w:cs="Times New Roman"/>
          <w:b/>
          <w:bCs/>
        </w:rPr>
        <w:tab/>
        <w:t xml:space="preserve">Have you already </w:t>
      </w:r>
      <w:proofErr w:type="gramStart"/>
      <w:r w:rsidRPr="00FC077F">
        <w:rPr>
          <w:rFonts w:ascii="Franklin Gothic Book" w:hAnsi="Franklin Gothic Book" w:cs="Times New Roman"/>
          <w:b/>
          <w:bCs/>
        </w:rPr>
        <w:t>taken action</w:t>
      </w:r>
      <w:proofErr w:type="gramEnd"/>
      <w:r w:rsidRPr="00FC077F">
        <w:rPr>
          <w:rFonts w:ascii="Franklin Gothic Book" w:hAnsi="Franklin Gothic Book" w:cs="Times New Roman"/>
          <w:b/>
          <w:bCs/>
        </w:rPr>
        <w:t xml:space="preserve"> in the EU country concerned to attempt to solve this problem, or are you aware of any action in the country concerned covering the issue you raise in this complaint?</w:t>
      </w:r>
    </w:p>
    <w:p w14:paraId="0F0B4E35" w14:textId="77777777" w:rsidR="00777F44" w:rsidRPr="00FC077F" w:rsidRDefault="00777F44" w:rsidP="00777F44">
      <w:pPr>
        <w:spacing w:line="360" w:lineRule="auto"/>
        <w:ind w:left="567" w:hanging="567"/>
        <w:jc w:val="both"/>
        <w:rPr>
          <w:rFonts w:ascii="Franklin Gothic Book" w:hAnsi="Franklin Gothic Book" w:cs="Times New Roman"/>
        </w:rPr>
      </w:pPr>
    </w:p>
    <w:p w14:paraId="3FC40FDC" w14:textId="77777777" w:rsidR="00777F44" w:rsidRPr="00955D19" w:rsidRDefault="00777F44" w:rsidP="00955D19">
      <w:pPr>
        <w:spacing w:line="360" w:lineRule="auto"/>
        <w:ind w:left="567"/>
        <w:jc w:val="both"/>
        <w:rPr>
          <w:rFonts w:ascii="Franklin Gothic Book" w:hAnsi="Franklin Gothic Book" w:cs="Times New Roman"/>
        </w:rPr>
      </w:pPr>
      <w:r w:rsidRPr="00FC077F">
        <w:rPr>
          <w:rFonts w:ascii="Franklin Gothic Book" w:hAnsi="Franklin Gothic Book" w:cs="Times New Roman"/>
        </w:rPr>
        <w:t>Yes (</w:t>
      </w:r>
      <w:r w:rsidR="006575D0" w:rsidRPr="00FC077F">
        <w:rPr>
          <w:rFonts w:ascii="Franklin Gothic Book" w:hAnsi="Franklin Gothic Book" w:cs="Times New Roman"/>
        </w:rPr>
        <w:t>X</w:t>
      </w:r>
      <w:proofErr w:type="gramStart"/>
      <w:r w:rsidRPr="00FC077F">
        <w:rPr>
          <w:rFonts w:ascii="Franklin Gothic Book" w:hAnsi="Franklin Gothic Book" w:cs="Times New Roman"/>
        </w:rPr>
        <w:t>)  No</w:t>
      </w:r>
      <w:proofErr w:type="gramEnd"/>
      <w:r w:rsidRPr="00FC077F">
        <w:rPr>
          <w:rFonts w:ascii="Franklin Gothic Book" w:hAnsi="Franklin Gothic Book" w:cs="Times New Roman"/>
        </w:rPr>
        <w:t xml:space="preserve"> (  )</w:t>
      </w:r>
    </w:p>
    <w:p w14:paraId="5FA14522" w14:textId="77777777" w:rsidR="00777F44" w:rsidRPr="00FC077F" w:rsidRDefault="00777F44" w:rsidP="00777F44">
      <w:pPr>
        <w:ind w:left="567" w:hanging="567"/>
        <w:jc w:val="both"/>
        <w:rPr>
          <w:rFonts w:ascii="Franklin Gothic Book" w:hAnsi="Franklin Gothic Book" w:cs="Times New Roman"/>
          <w:b/>
          <w:bCs/>
        </w:rPr>
      </w:pPr>
      <w:r w:rsidRPr="00FC077F">
        <w:rPr>
          <w:rFonts w:ascii="Franklin Gothic Book" w:hAnsi="Franklin Gothic Book" w:cs="Times New Roman"/>
          <w:b/>
          <w:bCs/>
        </w:rPr>
        <w:t xml:space="preserve">8. </w:t>
      </w:r>
      <w:r w:rsidRPr="00FC077F">
        <w:rPr>
          <w:rFonts w:ascii="Franklin Gothic Book" w:hAnsi="Franklin Gothic Book" w:cs="Times New Roman"/>
          <w:b/>
          <w:bCs/>
        </w:rPr>
        <w:tab/>
        <w:t>If you answered yes to point 7, what action have you already taken in the country concerned to tackle the problem?</w:t>
      </w:r>
    </w:p>
    <w:p w14:paraId="48E61DDD" w14:textId="77777777" w:rsidR="00777F44" w:rsidRPr="00FC077F" w:rsidRDefault="00777F44" w:rsidP="00777F44">
      <w:pPr>
        <w:ind w:left="567" w:hanging="567"/>
        <w:jc w:val="both"/>
        <w:rPr>
          <w:rFonts w:ascii="Franklin Gothic Book" w:hAnsi="Franklin Gothic Book" w:cs="Times New Roman"/>
          <w:bCs/>
        </w:rPr>
      </w:pPr>
    </w:p>
    <w:p w14:paraId="3F14926F" w14:textId="77777777" w:rsidR="00777F44" w:rsidRPr="00FC077F" w:rsidRDefault="00777F44" w:rsidP="00777F44">
      <w:pPr>
        <w:ind w:left="1130" w:hanging="560"/>
        <w:jc w:val="both"/>
        <w:rPr>
          <w:rFonts w:ascii="Franklin Gothic Book" w:hAnsi="Franklin Gothic Book" w:cs="Times New Roman"/>
          <w:bCs/>
          <w:i/>
        </w:rPr>
      </w:pPr>
      <w:proofErr w:type="gramStart"/>
      <w:r w:rsidRPr="00FC077F">
        <w:rPr>
          <w:rFonts w:ascii="Franklin Gothic Book" w:hAnsi="Franklin Gothic Book" w:cs="Times New Roman"/>
          <w:bCs/>
          <w:i/>
        </w:rPr>
        <w:lastRenderedPageBreak/>
        <w:t>(  )</w:t>
      </w:r>
      <w:proofErr w:type="gramEnd"/>
      <w:r w:rsidRPr="00FC077F">
        <w:rPr>
          <w:rFonts w:ascii="Franklin Gothic Book" w:hAnsi="Franklin Gothic Book" w:cs="Times New Roman"/>
          <w:bCs/>
          <w:i/>
        </w:rPr>
        <w:tab/>
        <w:t>Administrative action (e.g. appeals; complaints to the relevant public authorities; complaint to a national regional ombudsman)</w:t>
      </w:r>
    </w:p>
    <w:p w14:paraId="13427C6D" w14:textId="77777777" w:rsidR="00777F44" w:rsidRPr="00FC077F" w:rsidRDefault="00777F44" w:rsidP="00777F44">
      <w:pPr>
        <w:ind w:left="567" w:hanging="567"/>
        <w:jc w:val="both"/>
        <w:rPr>
          <w:rFonts w:ascii="Franklin Gothic Book" w:hAnsi="Franklin Gothic Book" w:cs="Times New Roman"/>
          <w:bCs/>
        </w:rPr>
      </w:pPr>
    </w:p>
    <w:p w14:paraId="78AC1BBD" w14:textId="77777777" w:rsidR="00777F44" w:rsidRPr="00FC077F" w:rsidRDefault="00777F44" w:rsidP="00777F44">
      <w:pPr>
        <w:ind w:left="567" w:hanging="567"/>
        <w:jc w:val="both"/>
        <w:rPr>
          <w:rFonts w:ascii="Franklin Gothic Book" w:hAnsi="Franklin Gothic Book" w:cs="Times New Roman"/>
          <w:bCs/>
          <w:i/>
        </w:rPr>
      </w:pPr>
      <w:r w:rsidRPr="00FC077F">
        <w:rPr>
          <w:rFonts w:ascii="Franklin Gothic Book" w:hAnsi="Franklin Gothic Book" w:cs="Times New Roman"/>
          <w:bCs/>
        </w:rPr>
        <w:t xml:space="preserve"> </w:t>
      </w:r>
      <w:r w:rsidRPr="00FC077F">
        <w:rPr>
          <w:rFonts w:ascii="Franklin Gothic Book" w:hAnsi="Franklin Gothic Book" w:cs="Times New Roman"/>
          <w:bCs/>
        </w:rPr>
        <w:tab/>
      </w:r>
      <w:r w:rsidRPr="00FC077F">
        <w:rPr>
          <w:rFonts w:ascii="Franklin Gothic Book" w:hAnsi="Franklin Gothic Book" w:cs="Times New Roman"/>
          <w:bCs/>
          <w:i/>
        </w:rPr>
        <w:t xml:space="preserve">If applicable, please state what type of decision(s) resulted from the administrative procedure.  </w:t>
      </w:r>
    </w:p>
    <w:p w14:paraId="7DB12010" w14:textId="77777777" w:rsidR="00777F44" w:rsidRPr="00FC077F" w:rsidRDefault="00777F44" w:rsidP="00777F44">
      <w:pPr>
        <w:ind w:left="567" w:hanging="567"/>
        <w:jc w:val="both"/>
        <w:rPr>
          <w:rFonts w:ascii="Franklin Gothic Book" w:hAnsi="Franklin Gothic Book" w:cs="Times New Roman"/>
          <w:bCs/>
          <w:i/>
        </w:rPr>
      </w:pPr>
    </w:p>
    <w:p w14:paraId="0F27F024" w14:textId="77777777" w:rsidR="00777F44" w:rsidRPr="00FC077F" w:rsidRDefault="00777F44" w:rsidP="00777F44">
      <w:pPr>
        <w:ind w:left="567" w:hanging="567"/>
        <w:jc w:val="both"/>
        <w:rPr>
          <w:rFonts w:ascii="Franklin Gothic Book" w:hAnsi="Franklin Gothic Book" w:cs="Times New Roman"/>
          <w:bCs/>
          <w:i/>
        </w:rPr>
      </w:pPr>
      <w:r w:rsidRPr="00FC077F">
        <w:rPr>
          <w:rFonts w:ascii="Franklin Gothic Book" w:hAnsi="Franklin Gothic Book" w:cs="Times New Roman"/>
          <w:bCs/>
          <w:i/>
        </w:rPr>
        <w:tab/>
        <w:t>Where applicable, please provide a list of your correspondence/contacts with public authorities. Include a short summary of the correspondence.</w:t>
      </w:r>
    </w:p>
    <w:p w14:paraId="0A343EF7" w14:textId="77777777" w:rsidR="00777F44" w:rsidRPr="00FC077F" w:rsidRDefault="00777F44" w:rsidP="00777F44">
      <w:pPr>
        <w:ind w:left="567" w:hanging="567"/>
        <w:jc w:val="both"/>
        <w:rPr>
          <w:rFonts w:ascii="Franklin Gothic Book" w:hAnsi="Franklin Gothic Book" w:cs="Times New Roman"/>
          <w:bCs/>
          <w:i/>
        </w:rPr>
      </w:pPr>
    </w:p>
    <w:p w14:paraId="116051D1" w14:textId="77777777" w:rsidR="00777F44" w:rsidRPr="00FC077F" w:rsidRDefault="00777F44" w:rsidP="00777F44">
      <w:pPr>
        <w:ind w:left="567"/>
        <w:jc w:val="both"/>
        <w:rPr>
          <w:rFonts w:ascii="Franklin Gothic Book" w:hAnsi="Franklin Gothic Book" w:cs="Times New Roman"/>
          <w:bCs/>
          <w:i/>
        </w:rPr>
      </w:pPr>
      <w:r w:rsidRPr="00FC077F">
        <w:rPr>
          <w:rFonts w:ascii="Franklin Gothic Book" w:hAnsi="Franklin Gothic Book" w:cs="Times New Roman"/>
          <w:bCs/>
          <w:i/>
        </w:rPr>
        <w:t>(</w:t>
      </w:r>
      <w:r w:rsidR="00FC7995" w:rsidRPr="00FC077F">
        <w:rPr>
          <w:rFonts w:ascii="Franklin Gothic Book" w:hAnsi="Franklin Gothic Book" w:cs="Times New Roman"/>
          <w:bCs/>
          <w:i/>
        </w:rPr>
        <w:t>X</w:t>
      </w:r>
      <w:r w:rsidRPr="00FC077F">
        <w:rPr>
          <w:rFonts w:ascii="Franklin Gothic Book" w:hAnsi="Franklin Gothic Book" w:cs="Times New Roman"/>
          <w:bCs/>
          <w:i/>
        </w:rPr>
        <w:t>) Legal action (recourse to courts)</w:t>
      </w:r>
    </w:p>
    <w:p w14:paraId="372F685D" w14:textId="77777777" w:rsidR="00777F44" w:rsidRPr="00FC077F" w:rsidRDefault="00777F44" w:rsidP="00777F44">
      <w:pPr>
        <w:ind w:left="567" w:hanging="567"/>
        <w:jc w:val="both"/>
        <w:rPr>
          <w:rFonts w:ascii="Franklin Gothic Book" w:hAnsi="Franklin Gothic Book" w:cs="Times New Roman"/>
          <w:bCs/>
          <w:i/>
        </w:rPr>
      </w:pPr>
    </w:p>
    <w:p w14:paraId="30C37C6C" w14:textId="77777777" w:rsidR="00777F44" w:rsidRPr="00FC077F" w:rsidRDefault="00777F44" w:rsidP="00777F44">
      <w:pPr>
        <w:ind w:left="567" w:hanging="567"/>
        <w:jc w:val="both"/>
        <w:rPr>
          <w:rFonts w:ascii="Franklin Gothic Book" w:hAnsi="Franklin Gothic Book" w:cs="Times New Roman"/>
          <w:bCs/>
          <w:i/>
        </w:rPr>
      </w:pPr>
      <w:r w:rsidRPr="00FC077F">
        <w:rPr>
          <w:rFonts w:ascii="Franklin Gothic Book" w:hAnsi="Franklin Gothic Book" w:cs="Times New Roman"/>
          <w:bCs/>
          <w:i/>
        </w:rPr>
        <w:tab/>
        <w:t>Please state whether your action has been settled by a court or is pending before a court. If the case is pending, when can a decision be expected?</w:t>
      </w:r>
    </w:p>
    <w:p w14:paraId="5688FD65" w14:textId="77777777" w:rsidR="00FC7995" w:rsidRPr="00FC077F" w:rsidRDefault="00FC7995" w:rsidP="00FC7995">
      <w:pPr>
        <w:jc w:val="both"/>
        <w:rPr>
          <w:rFonts w:ascii="Franklin Gothic Book" w:hAnsi="Franklin Gothic Book"/>
          <w:lang w:val="en-US"/>
        </w:rPr>
      </w:pPr>
      <w:r w:rsidRPr="00FC077F">
        <w:rPr>
          <w:rFonts w:ascii="Franklin Gothic Book" w:hAnsi="Franklin Gothic Book" w:cs="Times New Roman"/>
        </w:rPr>
        <w:t xml:space="preserve">PICUM is aware of one legal action challenging the “immigration control exemption” of the DPA, by </w:t>
      </w:r>
      <w:r w:rsidRPr="00FC077F">
        <w:rPr>
          <w:rFonts w:ascii="Franklin Gothic Book" w:hAnsi="Franklin Gothic Book"/>
          <w:lang w:val="en-US"/>
        </w:rPr>
        <w:t xml:space="preserve">The Open Rights Group and the3million (Claimants) against the Secretary of State for the home Department, the Secretary of State for Digital, Culture, Media and Sport. </w:t>
      </w:r>
    </w:p>
    <w:p w14:paraId="606DF471" w14:textId="77777777" w:rsidR="00777F44" w:rsidRPr="00FC077F" w:rsidRDefault="00FC7995" w:rsidP="00FC7995">
      <w:pPr>
        <w:jc w:val="both"/>
        <w:rPr>
          <w:rFonts w:ascii="Franklin Gothic Book" w:hAnsi="Franklin Gothic Book" w:cs="Times New Roman"/>
        </w:rPr>
      </w:pPr>
      <w:r w:rsidRPr="00FC077F">
        <w:rPr>
          <w:rFonts w:ascii="Franklin Gothic Book" w:hAnsi="Franklin Gothic Book"/>
          <w:lang w:val="en-US"/>
        </w:rPr>
        <w:t>Statement of Facts and grounds were filed on 23 August 2018 with the High Court of Justice, Queen’s Bench Division, Administrative Court; and a hearing of the merits is scheduled for July 2019.</w:t>
      </w:r>
    </w:p>
    <w:p w14:paraId="75476A57" w14:textId="77777777" w:rsidR="00FC7995" w:rsidRPr="00FC077F" w:rsidRDefault="00FC7995" w:rsidP="00FC7995">
      <w:pPr>
        <w:jc w:val="both"/>
        <w:rPr>
          <w:rFonts w:ascii="Franklin Gothic Book" w:hAnsi="Franklin Gothic Book" w:cs="Times New Roman"/>
        </w:rPr>
      </w:pPr>
    </w:p>
    <w:p w14:paraId="4FC77CE5" w14:textId="77777777" w:rsidR="00777F44" w:rsidRPr="00FC077F" w:rsidRDefault="00777F44" w:rsidP="00777F44">
      <w:pPr>
        <w:ind w:left="567" w:hanging="567"/>
        <w:jc w:val="both"/>
        <w:rPr>
          <w:rFonts w:ascii="Franklin Gothic Book" w:hAnsi="Franklin Gothic Book" w:cs="Times New Roman"/>
          <w:b/>
        </w:rPr>
      </w:pPr>
      <w:r w:rsidRPr="00FC077F">
        <w:rPr>
          <w:rFonts w:ascii="Franklin Gothic Book" w:hAnsi="Franklin Gothic Book" w:cs="Times New Roman"/>
          <w:b/>
          <w:bCs/>
        </w:rPr>
        <w:t>9.</w:t>
      </w:r>
      <w:r w:rsidRPr="00FC077F">
        <w:rPr>
          <w:rFonts w:ascii="Franklin Gothic Book" w:hAnsi="Franklin Gothic Book" w:cs="Times New Roman"/>
          <w:b/>
          <w:bCs/>
        </w:rPr>
        <w:tab/>
      </w:r>
      <w:r w:rsidRPr="00FC077F">
        <w:rPr>
          <w:rFonts w:ascii="Franklin Gothic Book" w:hAnsi="Franklin Gothic Book" w:cs="Times New Roman"/>
          <w:b/>
        </w:rPr>
        <w:t xml:space="preserve">If you answered no to point 7, please consider </w:t>
      </w:r>
      <w:proofErr w:type="gramStart"/>
      <w:r w:rsidRPr="00FC077F">
        <w:rPr>
          <w:rFonts w:ascii="Franklin Gothic Book" w:hAnsi="Franklin Gothic Book" w:cs="Times New Roman"/>
          <w:b/>
        </w:rPr>
        <w:t>taking action</w:t>
      </w:r>
      <w:proofErr w:type="gramEnd"/>
      <w:r w:rsidRPr="00FC077F">
        <w:rPr>
          <w:rFonts w:ascii="Franklin Gothic Book" w:hAnsi="Franklin Gothic Book" w:cs="Times New Roman"/>
          <w:b/>
        </w:rPr>
        <w:t xml:space="preserve"> in the EU country concerned to tackle your problem. You will be able to assert your rights directly and personally by using national means of redress. </w:t>
      </w:r>
    </w:p>
    <w:p w14:paraId="330F4F9C" w14:textId="77777777" w:rsidR="00777F44" w:rsidRPr="00FC077F" w:rsidRDefault="00777F44" w:rsidP="00EA39E4">
      <w:pPr>
        <w:ind w:left="567"/>
        <w:jc w:val="both"/>
        <w:rPr>
          <w:rFonts w:ascii="Franklin Gothic Book" w:hAnsi="Franklin Gothic Book" w:cs="Times New Roman"/>
          <w:b/>
        </w:rPr>
      </w:pPr>
      <w:r w:rsidRPr="00FC077F">
        <w:rPr>
          <w:rFonts w:ascii="Franklin Gothic Book" w:hAnsi="Franklin Gothic Book" w:cs="Times New Roman"/>
          <w:b/>
        </w:rPr>
        <w:t xml:space="preserve">If you have decided not to </w:t>
      </w:r>
      <w:proofErr w:type="gramStart"/>
      <w:r w:rsidRPr="00FC077F">
        <w:rPr>
          <w:rFonts w:ascii="Franklin Gothic Book" w:hAnsi="Franklin Gothic Book" w:cs="Times New Roman"/>
          <w:b/>
        </w:rPr>
        <w:t>take action</w:t>
      </w:r>
      <w:proofErr w:type="gramEnd"/>
      <w:r w:rsidRPr="00FC077F">
        <w:rPr>
          <w:rFonts w:ascii="Franklin Gothic Book" w:hAnsi="Franklin Gothic Book" w:cs="Times New Roman"/>
          <w:b/>
        </w:rPr>
        <w:t xml:space="preserve"> to tackle your problem in the country concerned, why not?</w:t>
      </w:r>
    </w:p>
    <w:p w14:paraId="6D6DD528" w14:textId="77777777" w:rsidR="00777F44" w:rsidRPr="00FC077F" w:rsidRDefault="00777F44" w:rsidP="00EA39E4">
      <w:pPr>
        <w:spacing w:line="360" w:lineRule="auto"/>
        <w:ind w:firstLine="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No remedy available for the problem</w:t>
      </w:r>
    </w:p>
    <w:p w14:paraId="2997564B" w14:textId="77777777" w:rsidR="00777F44" w:rsidRPr="00FC077F" w:rsidRDefault="00777F44" w:rsidP="00777F44">
      <w:pPr>
        <w:spacing w:line="360" w:lineRule="auto"/>
        <w:ind w:firstLine="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The remedy exists, but it is too costly</w:t>
      </w:r>
    </w:p>
    <w:p w14:paraId="2DD65157" w14:textId="77777777" w:rsidR="00777F44" w:rsidRPr="00FC077F" w:rsidRDefault="00777F44" w:rsidP="00777F44">
      <w:pPr>
        <w:spacing w:line="360" w:lineRule="auto"/>
        <w:ind w:firstLine="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Time limit for action has expired</w:t>
      </w:r>
    </w:p>
    <w:p w14:paraId="11FB4522" w14:textId="77777777" w:rsidR="00777F44" w:rsidRPr="00FC077F" w:rsidRDefault="00777F44" w:rsidP="00777F44">
      <w:pPr>
        <w:spacing w:line="360" w:lineRule="auto"/>
        <w:ind w:left="1127" w:hanging="560"/>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r>
      <w:r w:rsidR="00EA39E4" w:rsidRPr="00FC077F">
        <w:rPr>
          <w:rFonts w:ascii="Franklin Gothic Book" w:hAnsi="Franklin Gothic Book" w:cs="Times New Roman"/>
        </w:rPr>
        <w:tab/>
      </w:r>
      <w:r w:rsidRPr="00FC077F">
        <w:rPr>
          <w:rFonts w:ascii="Franklin Gothic Book" w:hAnsi="Franklin Gothic Book" w:cs="Times New Roman"/>
        </w:rPr>
        <w:t>No legal standing (indicate why you are not eligible for this particular remedy)</w:t>
      </w:r>
    </w:p>
    <w:p w14:paraId="6F97EA9D" w14:textId="77777777" w:rsidR="00777F44" w:rsidRPr="00FC077F" w:rsidRDefault="00777F44" w:rsidP="00777F44">
      <w:pPr>
        <w:spacing w:line="360" w:lineRule="auto"/>
        <w:ind w:firstLine="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No legal aid / no lawyer</w:t>
      </w:r>
    </w:p>
    <w:p w14:paraId="32106AE5" w14:textId="77777777" w:rsidR="00777F44" w:rsidRPr="00FC077F" w:rsidRDefault="00777F44" w:rsidP="00777F44">
      <w:pPr>
        <w:spacing w:line="360" w:lineRule="auto"/>
        <w:ind w:firstLine="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I do not know what remedies are available for the problem</w:t>
      </w:r>
    </w:p>
    <w:p w14:paraId="3AE18F5C" w14:textId="77777777" w:rsidR="00777F44" w:rsidRPr="00FC077F" w:rsidRDefault="00777F44" w:rsidP="00955D19">
      <w:pPr>
        <w:spacing w:line="360" w:lineRule="auto"/>
        <w:ind w:firstLine="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Other (please specify)</w:t>
      </w:r>
    </w:p>
    <w:p w14:paraId="7A4590CA" w14:textId="77777777" w:rsidR="00777F44" w:rsidRPr="00955D19" w:rsidRDefault="00777F44" w:rsidP="00955D19">
      <w:pPr>
        <w:ind w:left="567" w:hanging="567"/>
        <w:jc w:val="both"/>
        <w:rPr>
          <w:rFonts w:ascii="Franklin Gothic Book" w:hAnsi="Franklin Gothic Book" w:cs="Times New Roman"/>
          <w:b/>
          <w:bCs/>
        </w:rPr>
      </w:pPr>
      <w:r w:rsidRPr="00FC077F">
        <w:rPr>
          <w:rFonts w:ascii="Franklin Gothic Book" w:hAnsi="Franklin Gothic Book" w:cs="Times New Roman"/>
          <w:b/>
          <w:bCs/>
        </w:rPr>
        <w:t>10.</w:t>
      </w:r>
      <w:r w:rsidRPr="00FC077F">
        <w:rPr>
          <w:rFonts w:ascii="Franklin Gothic Book" w:hAnsi="Franklin Gothic Book" w:cs="Times New Roman"/>
          <w:b/>
          <w:bCs/>
        </w:rPr>
        <w:tab/>
        <w:t>Please indicate whether you have already contacted other EU institutions and bodies to request help in solving your problem:</w:t>
      </w:r>
    </w:p>
    <w:p w14:paraId="59D08374" w14:textId="77777777" w:rsidR="00777F44" w:rsidRPr="00FC077F" w:rsidRDefault="00777F44" w:rsidP="00777F44">
      <w:pPr>
        <w:ind w:left="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European Parliament – Petitions</w:t>
      </w:r>
    </w:p>
    <w:p w14:paraId="2F4FCC8A" w14:textId="77777777" w:rsidR="00777F44" w:rsidRPr="00FC077F" w:rsidRDefault="00777F44" w:rsidP="00777F44">
      <w:pPr>
        <w:ind w:left="567"/>
        <w:jc w:val="both"/>
        <w:rPr>
          <w:rFonts w:ascii="Franklin Gothic Book" w:hAnsi="Franklin Gothic Book" w:cs="Times New Roman"/>
        </w:rPr>
      </w:pPr>
      <w:proofErr w:type="gramStart"/>
      <w:r w:rsidRPr="00FC077F">
        <w:rPr>
          <w:rFonts w:ascii="Franklin Gothic Book" w:hAnsi="Franklin Gothic Book" w:cs="Times New Roman"/>
        </w:rPr>
        <w:lastRenderedPageBreak/>
        <w:t>(  )</w:t>
      </w:r>
      <w:proofErr w:type="gramEnd"/>
      <w:r w:rsidRPr="00FC077F">
        <w:rPr>
          <w:rFonts w:ascii="Franklin Gothic Book" w:hAnsi="Franklin Gothic Book" w:cs="Times New Roman"/>
        </w:rPr>
        <w:tab/>
      </w:r>
      <w:r w:rsidR="00EA39E4" w:rsidRPr="00FC077F">
        <w:rPr>
          <w:rFonts w:ascii="Franklin Gothic Book" w:hAnsi="Franklin Gothic Book" w:cs="Times New Roman"/>
        </w:rPr>
        <w:t>European Ombudsman</w:t>
      </w:r>
    </w:p>
    <w:p w14:paraId="236683FB" w14:textId="77777777" w:rsidR="00777F44" w:rsidRPr="00FC077F" w:rsidRDefault="00777F44" w:rsidP="00777F44">
      <w:pPr>
        <w:ind w:left="567"/>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Other (please specify)</w:t>
      </w:r>
    </w:p>
    <w:p w14:paraId="2EE1F05A" w14:textId="77777777" w:rsidR="00777F44" w:rsidRPr="00FC077F" w:rsidRDefault="00777F44" w:rsidP="00777F44">
      <w:pPr>
        <w:ind w:left="567"/>
        <w:jc w:val="both"/>
        <w:rPr>
          <w:rFonts w:ascii="Franklin Gothic Book" w:hAnsi="Franklin Gothic Book" w:cs="Times New Roman"/>
        </w:rPr>
      </w:pPr>
    </w:p>
    <w:p w14:paraId="2CCE8111" w14:textId="77777777" w:rsidR="00777F44" w:rsidRPr="00FC077F" w:rsidRDefault="00777F44" w:rsidP="00777F44">
      <w:pPr>
        <w:ind w:left="567"/>
        <w:jc w:val="both"/>
        <w:rPr>
          <w:rFonts w:ascii="Franklin Gothic Book" w:hAnsi="Franklin Gothic Book" w:cs="Times New Roman"/>
          <w:i/>
        </w:rPr>
      </w:pPr>
      <w:r w:rsidRPr="00FC077F">
        <w:rPr>
          <w:rFonts w:ascii="Franklin Gothic Book" w:hAnsi="Franklin Gothic Book" w:cs="Times New Roman"/>
          <w:i/>
        </w:rPr>
        <w:t>Please give the reference assigned to your complaint, file, correspondence, etc. by the institution or body concerned.</w:t>
      </w:r>
    </w:p>
    <w:p w14:paraId="093A30E3" w14:textId="77777777" w:rsidR="00777F44" w:rsidRPr="00FC077F" w:rsidRDefault="00777F44" w:rsidP="00777F44">
      <w:pPr>
        <w:jc w:val="both"/>
        <w:rPr>
          <w:rFonts w:ascii="Franklin Gothic Book" w:hAnsi="Franklin Gothic Book" w:cs="Times New Roman"/>
        </w:rPr>
      </w:pPr>
    </w:p>
    <w:p w14:paraId="1872216D" w14:textId="77777777" w:rsidR="00777F44" w:rsidRPr="00FC077F" w:rsidRDefault="00777F44" w:rsidP="00777F44">
      <w:pPr>
        <w:ind w:left="567" w:hanging="567"/>
        <w:jc w:val="both"/>
        <w:rPr>
          <w:rFonts w:ascii="Franklin Gothic Book" w:hAnsi="Franklin Gothic Book" w:cs="Times New Roman"/>
          <w:b/>
        </w:rPr>
      </w:pPr>
      <w:r w:rsidRPr="00FC077F">
        <w:rPr>
          <w:rFonts w:ascii="Franklin Gothic Book" w:hAnsi="Franklin Gothic Book" w:cs="Times New Roman"/>
          <w:b/>
          <w:bCs/>
        </w:rPr>
        <w:t>11.</w:t>
      </w:r>
      <w:r w:rsidRPr="00FC077F">
        <w:rPr>
          <w:rFonts w:ascii="Franklin Gothic Book" w:hAnsi="Franklin Gothic Book" w:cs="Times New Roman"/>
          <w:b/>
          <w:bCs/>
        </w:rPr>
        <w:tab/>
        <w:t xml:space="preserve">If, after examining your case, the Commission considers that SOLVIT is better placed to deal with it, do you agree to your complaint being transferred to SOLVIT? </w:t>
      </w:r>
    </w:p>
    <w:p w14:paraId="6D790579" w14:textId="77777777" w:rsidR="00777F44" w:rsidRPr="00FC077F" w:rsidRDefault="00777F44" w:rsidP="00777F44">
      <w:pPr>
        <w:spacing w:line="360" w:lineRule="auto"/>
        <w:ind w:left="567" w:hanging="567"/>
        <w:jc w:val="both"/>
        <w:rPr>
          <w:rFonts w:ascii="Franklin Gothic Book" w:hAnsi="Franklin Gothic Book" w:cs="Times New Roman"/>
        </w:rPr>
      </w:pPr>
    </w:p>
    <w:p w14:paraId="56D3D99C" w14:textId="77777777" w:rsidR="00777F44" w:rsidRPr="00FC077F" w:rsidRDefault="00777F44" w:rsidP="00777F44">
      <w:pPr>
        <w:ind w:left="1134" w:hanging="567"/>
        <w:jc w:val="both"/>
        <w:rPr>
          <w:rFonts w:ascii="Franklin Gothic Book" w:hAnsi="Franklin Gothic Book" w:cs="Times New Roman"/>
        </w:rPr>
      </w:pPr>
      <w:proofErr w:type="gramStart"/>
      <w:r w:rsidRPr="00FC077F">
        <w:rPr>
          <w:rFonts w:ascii="Franklin Gothic Book" w:hAnsi="Franklin Gothic Book" w:cs="Times New Roman"/>
        </w:rPr>
        <w:t>(</w:t>
      </w:r>
      <w:r w:rsidR="00FC7995" w:rsidRPr="00FC077F">
        <w:rPr>
          <w:rFonts w:ascii="Franklin Gothic Book" w:hAnsi="Franklin Gothic Book" w:cs="Times New Roman"/>
        </w:rPr>
        <w:t xml:space="preserve">  </w:t>
      </w:r>
      <w:r w:rsidRPr="00FC077F">
        <w:rPr>
          <w:rFonts w:ascii="Franklin Gothic Book" w:hAnsi="Franklin Gothic Book" w:cs="Times New Roman"/>
        </w:rPr>
        <w:t>)</w:t>
      </w:r>
      <w:proofErr w:type="gramEnd"/>
      <w:r w:rsidRPr="00FC077F">
        <w:rPr>
          <w:rFonts w:ascii="Franklin Gothic Book" w:hAnsi="Franklin Gothic Book" w:cs="Times New Roman"/>
        </w:rPr>
        <w:tab/>
        <w:t>Yes, I agree that the Commission can transfer my complaint to SOLVIT.</w:t>
      </w:r>
    </w:p>
    <w:p w14:paraId="185009D2" w14:textId="77777777" w:rsidR="00777F44" w:rsidRPr="00FC077F" w:rsidRDefault="00777F44" w:rsidP="00777F44">
      <w:pPr>
        <w:ind w:left="1134" w:hanging="567"/>
        <w:jc w:val="both"/>
        <w:rPr>
          <w:rFonts w:ascii="Franklin Gothic Book" w:hAnsi="Franklin Gothic Book" w:cs="Times New Roman"/>
        </w:rPr>
      </w:pPr>
    </w:p>
    <w:p w14:paraId="51957017" w14:textId="77777777" w:rsidR="00777F44" w:rsidRPr="00FC077F" w:rsidRDefault="00777F44" w:rsidP="00777F44">
      <w:pPr>
        <w:ind w:left="1134" w:hanging="567"/>
        <w:jc w:val="both"/>
        <w:rPr>
          <w:rFonts w:ascii="Franklin Gothic Book" w:hAnsi="Franklin Gothic Book" w:cs="Times New Roman"/>
          <w:b/>
        </w:rPr>
      </w:pPr>
      <w:r w:rsidRPr="00FC077F">
        <w:rPr>
          <w:rFonts w:ascii="Franklin Gothic Book" w:hAnsi="Franklin Gothic Book" w:cs="Times New Roman"/>
        </w:rPr>
        <w:t>(</w:t>
      </w:r>
      <w:r w:rsidR="004218AA">
        <w:rPr>
          <w:rFonts w:ascii="Franklin Gothic Book" w:hAnsi="Franklin Gothic Book" w:cs="Times New Roman"/>
        </w:rPr>
        <w:t>X</w:t>
      </w:r>
      <w:r w:rsidRPr="00FC077F">
        <w:rPr>
          <w:rFonts w:ascii="Franklin Gothic Book" w:hAnsi="Franklin Gothic Book" w:cs="Times New Roman"/>
        </w:rPr>
        <w:t>)</w:t>
      </w:r>
      <w:r w:rsidRPr="00FC077F">
        <w:rPr>
          <w:rFonts w:ascii="Franklin Gothic Book" w:hAnsi="Franklin Gothic Book" w:cs="Times New Roman"/>
        </w:rPr>
        <w:tab/>
        <w:t>No, I do not agree to the Commission transferring my complaint to SOLVIT.</w:t>
      </w:r>
    </w:p>
    <w:p w14:paraId="6CFA0209" w14:textId="77777777" w:rsidR="00777F44" w:rsidRPr="00FC077F" w:rsidRDefault="00777F44" w:rsidP="00777F44">
      <w:pPr>
        <w:spacing w:line="360" w:lineRule="auto"/>
        <w:rPr>
          <w:rFonts w:ascii="Franklin Gothic Book" w:hAnsi="Franklin Gothic Book" w:cs="Times New Roman"/>
        </w:rPr>
      </w:pPr>
    </w:p>
    <w:p w14:paraId="4E2D11BF" w14:textId="77777777" w:rsidR="00777F44" w:rsidRPr="00FC077F" w:rsidRDefault="00777F44" w:rsidP="00777F44">
      <w:pPr>
        <w:ind w:left="567" w:hanging="567"/>
        <w:jc w:val="both"/>
        <w:rPr>
          <w:rFonts w:ascii="Franklin Gothic Book" w:hAnsi="Franklin Gothic Book" w:cs="Times New Roman"/>
          <w:b/>
        </w:rPr>
      </w:pPr>
      <w:r w:rsidRPr="00FC077F">
        <w:rPr>
          <w:rFonts w:ascii="Franklin Gothic Book" w:hAnsi="Franklin Gothic Book" w:cs="Times New Roman"/>
          <w:b/>
          <w:bCs/>
        </w:rPr>
        <w:t>12.</w:t>
      </w:r>
      <w:r w:rsidRPr="00FC077F">
        <w:rPr>
          <w:rFonts w:ascii="Franklin Gothic Book" w:hAnsi="Franklin Gothic Book" w:cs="Times New Roman"/>
          <w:b/>
          <w:bCs/>
        </w:rPr>
        <w:tab/>
      </w:r>
      <w:r w:rsidRPr="00FC077F">
        <w:rPr>
          <w:rFonts w:ascii="Franklin Gothic Book" w:hAnsi="Franklin Gothic Book" w:cs="Times New Roman"/>
          <w:b/>
        </w:rPr>
        <w:t>Specify any documents or evidence which may be submitted in support of the complaint, including the national measures concerned (attach copies):</w:t>
      </w:r>
    </w:p>
    <w:p w14:paraId="320EBD9B" w14:textId="77777777" w:rsidR="00777F44" w:rsidRPr="00FC077F" w:rsidRDefault="00FC7995" w:rsidP="00777F44">
      <w:pPr>
        <w:spacing w:line="360" w:lineRule="auto"/>
        <w:jc w:val="both"/>
        <w:rPr>
          <w:rFonts w:ascii="Franklin Gothic Book" w:hAnsi="Franklin Gothic Book" w:cs="Times New Roman"/>
        </w:rPr>
      </w:pPr>
      <w:r w:rsidRPr="00FC077F">
        <w:rPr>
          <w:rFonts w:ascii="Franklin Gothic Book" w:hAnsi="Franklin Gothic Book" w:cs="Times New Roman"/>
        </w:rPr>
        <w:t xml:space="preserve">See response to section 6, above. </w:t>
      </w:r>
    </w:p>
    <w:p w14:paraId="7A8CA864" w14:textId="77777777" w:rsidR="00777F44" w:rsidRPr="00FC077F" w:rsidRDefault="00777F44" w:rsidP="00FC7995">
      <w:pPr>
        <w:spacing w:line="360" w:lineRule="auto"/>
        <w:ind w:left="567" w:hanging="567"/>
        <w:jc w:val="both"/>
        <w:rPr>
          <w:rFonts w:ascii="Franklin Gothic Book" w:hAnsi="Franklin Gothic Book" w:cs="Times New Roman"/>
          <w:b/>
        </w:rPr>
      </w:pPr>
      <w:r w:rsidRPr="00FC077F">
        <w:rPr>
          <w:rFonts w:ascii="Franklin Gothic Book" w:hAnsi="Franklin Gothic Book" w:cs="Times New Roman"/>
          <w:b/>
          <w:bCs/>
        </w:rPr>
        <w:t>IV.</w:t>
      </w:r>
      <w:r w:rsidRPr="00FC077F">
        <w:rPr>
          <w:rFonts w:ascii="Franklin Gothic Book" w:hAnsi="Franklin Gothic Book" w:cs="Times New Roman"/>
          <w:b/>
          <w:bCs/>
        </w:rPr>
        <w:tab/>
        <w:t xml:space="preserve">CONFIDENTIALITY – DATA PROTECTION </w:t>
      </w:r>
    </w:p>
    <w:p w14:paraId="0124F04E" w14:textId="77777777" w:rsidR="00777F44" w:rsidRPr="00FC077F" w:rsidRDefault="00777F44" w:rsidP="00777F44">
      <w:pPr>
        <w:ind w:left="1127" w:hanging="560"/>
        <w:jc w:val="both"/>
        <w:rPr>
          <w:rFonts w:ascii="Franklin Gothic Book" w:hAnsi="Franklin Gothic Book" w:cs="Times New Roman"/>
        </w:rPr>
      </w:pPr>
      <w:r w:rsidRPr="00FC077F">
        <w:rPr>
          <w:rFonts w:ascii="Franklin Gothic Book" w:hAnsi="Franklin Gothic Book" w:cs="Times New Roman"/>
        </w:rPr>
        <w:t>(</w:t>
      </w:r>
      <w:r w:rsidR="00727521" w:rsidRPr="00FC077F">
        <w:rPr>
          <w:rFonts w:ascii="Franklin Gothic Book" w:hAnsi="Franklin Gothic Book" w:cs="Times New Roman"/>
        </w:rPr>
        <w:t>X</w:t>
      </w:r>
      <w:r w:rsidRPr="00FC077F">
        <w:rPr>
          <w:rFonts w:ascii="Franklin Gothic Book" w:hAnsi="Franklin Gothic Book" w:cs="Times New Roman"/>
        </w:rPr>
        <w:t>)</w:t>
      </w:r>
      <w:r w:rsidRPr="00FC077F">
        <w:rPr>
          <w:rFonts w:ascii="Franklin Gothic Book" w:hAnsi="Franklin Gothic Book" w:cs="Times New Roman"/>
        </w:rPr>
        <w:tab/>
        <w:t>I authorise the Commission to disclose my identity in its contacts with the authorities of the EU country against which I am lodging a complaint.</w:t>
      </w:r>
    </w:p>
    <w:p w14:paraId="01238A13" w14:textId="77777777" w:rsidR="00777F44" w:rsidRPr="00FC077F" w:rsidRDefault="00777F44" w:rsidP="00777F44">
      <w:pPr>
        <w:spacing w:line="360" w:lineRule="auto"/>
        <w:ind w:left="567" w:hanging="567"/>
        <w:jc w:val="both"/>
        <w:rPr>
          <w:rFonts w:ascii="Franklin Gothic Book" w:hAnsi="Franklin Gothic Book" w:cs="Times New Roman"/>
        </w:rPr>
      </w:pPr>
    </w:p>
    <w:p w14:paraId="4B74B50C" w14:textId="77777777" w:rsidR="00777F44" w:rsidRPr="00FC077F" w:rsidRDefault="00777F44" w:rsidP="00FC7995">
      <w:pPr>
        <w:ind w:left="1127" w:hanging="560"/>
        <w:jc w:val="both"/>
        <w:rPr>
          <w:rFonts w:ascii="Franklin Gothic Book" w:hAnsi="Franklin Gothic Book" w:cs="Times New Roman"/>
        </w:rPr>
      </w:pPr>
      <w:proofErr w:type="gramStart"/>
      <w:r w:rsidRPr="00FC077F">
        <w:rPr>
          <w:rFonts w:ascii="Franklin Gothic Book" w:hAnsi="Franklin Gothic Book" w:cs="Times New Roman"/>
        </w:rPr>
        <w:t>(  )</w:t>
      </w:r>
      <w:proofErr w:type="gramEnd"/>
      <w:r w:rsidRPr="00FC077F">
        <w:rPr>
          <w:rFonts w:ascii="Franklin Gothic Book" w:hAnsi="Franklin Gothic Book" w:cs="Times New Roman"/>
        </w:rPr>
        <w:tab/>
        <w:t>I do not authorise the Commission to disclose my identity in its contacts with the authorities of the EU country against which I am lodging a complaint.</w:t>
      </w:r>
    </w:p>
    <w:p w14:paraId="575270E6" w14:textId="77777777" w:rsidR="00FC7995" w:rsidRPr="00FC077F" w:rsidRDefault="00FC7995" w:rsidP="00FC7995">
      <w:pPr>
        <w:ind w:left="1127" w:hanging="560"/>
        <w:jc w:val="both"/>
        <w:rPr>
          <w:rFonts w:ascii="Franklin Gothic Book" w:hAnsi="Franklin Gothic Book" w:cs="Times New Roman"/>
        </w:rPr>
      </w:pPr>
    </w:p>
    <w:p w14:paraId="10C2097D" w14:textId="77777777" w:rsidR="00777F44" w:rsidRPr="00FC077F" w:rsidRDefault="00777F44" w:rsidP="00777F44">
      <w:pPr>
        <w:spacing w:line="360" w:lineRule="auto"/>
        <w:ind w:left="567" w:hanging="567"/>
        <w:jc w:val="both"/>
        <w:rPr>
          <w:rFonts w:ascii="Franklin Gothic Book" w:hAnsi="Franklin Gothic Book" w:cs="Times New Roman"/>
          <w:b/>
        </w:rPr>
      </w:pPr>
      <w:r w:rsidRPr="00FC077F">
        <w:rPr>
          <w:rFonts w:ascii="Franklin Gothic Book" w:hAnsi="Franklin Gothic Book" w:cs="Times New Roman"/>
          <w:b/>
        </w:rPr>
        <w:t>Place, date and signature of complainant/representative:</w:t>
      </w:r>
    </w:p>
    <w:p w14:paraId="7EF2C364" w14:textId="77777777" w:rsidR="00B97AA9" w:rsidRPr="00FC077F" w:rsidRDefault="00B97AA9" w:rsidP="00B97AA9">
      <w:pPr>
        <w:spacing w:after="0"/>
        <w:rPr>
          <w:rFonts w:ascii="Franklin Gothic Book" w:hAnsi="Franklin Gothic Book" w:cs="Times New Roman"/>
        </w:rPr>
      </w:pPr>
    </w:p>
    <w:sectPr w:rsidR="00B97AA9" w:rsidRPr="00FC077F" w:rsidSect="00BB18A8">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2236" w14:textId="77777777" w:rsidR="00D6082C" w:rsidRDefault="00D6082C" w:rsidP="00BB18A8">
      <w:pPr>
        <w:spacing w:after="0" w:line="240" w:lineRule="auto"/>
      </w:pPr>
      <w:r>
        <w:separator/>
      </w:r>
    </w:p>
  </w:endnote>
  <w:endnote w:type="continuationSeparator" w:id="0">
    <w:p w14:paraId="5976B319" w14:textId="77777777" w:rsidR="00D6082C" w:rsidRDefault="00D6082C" w:rsidP="00BB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728447"/>
      <w:docPartObj>
        <w:docPartGallery w:val="Page Numbers (Bottom of Page)"/>
        <w:docPartUnique/>
      </w:docPartObj>
    </w:sdtPr>
    <w:sdtEndPr>
      <w:rPr>
        <w:noProof/>
      </w:rPr>
    </w:sdtEndPr>
    <w:sdtContent>
      <w:p w14:paraId="352C04ED" w14:textId="77777777" w:rsidR="00D6082C" w:rsidRDefault="00D6082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4C5BDEE" w14:textId="77777777" w:rsidR="00D6082C" w:rsidRPr="001F7E5B" w:rsidRDefault="00D6082C">
    <w:pPr>
      <w:pStyle w:val="Footer"/>
      <w:rPr>
        <w:b/>
      </w:rPr>
    </w:pPr>
    <w:r>
      <w:rPr>
        <w:b/>
      </w:rPr>
      <w:t>Draft – Do Not Circulate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6FDD" w14:textId="77777777" w:rsidR="00D6082C" w:rsidRDefault="00D6082C" w:rsidP="00BB18A8">
      <w:pPr>
        <w:spacing w:after="0" w:line="240" w:lineRule="auto"/>
      </w:pPr>
      <w:r>
        <w:separator/>
      </w:r>
    </w:p>
  </w:footnote>
  <w:footnote w:type="continuationSeparator" w:id="0">
    <w:p w14:paraId="29D97CF2" w14:textId="77777777" w:rsidR="00D6082C" w:rsidRDefault="00D6082C" w:rsidP="00BB18A8">
      <w:pPr>
        <w:spacing w:after="0" w:line="240" w:lineRule="auto"/>
      </w:pPr>
      <w:r>
        <w:continuationSeparator/>
      </w:r>
    </w:p>
  </w:footnote>
  <w:footnote w:id="1">
    <w:p w14:paraId="6472D6D4" w14:textId="77777777" w:rsidR="00D6082C" w:rsidRPr="00E13758" w:rsidRDefault="00D6082C" w:rsidP="00ED182D">
      <w:pPr>
        <w:pStyle w:val="FootnoteText"/>
        <w:tabs>
          <w:tab w:val="left" w:pos="709"/>
          <w:tab w:val="left" w:pos="851"/>
        </w:tabs>
        <w:ind w:left="360" w:hanging="360"/>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European Convention for the Protection of Human Rights and Fundamental Freedoms.</w:t>
      </w:r>
      <w:r w:rsidRPr="00E13758">
        <w:rPr>
          <w:rFonts w:ascii="Franklin Gothic Book" w:hAnsi="Franklin Gothic Book" w:cs="Times New Roman"/>
        </w:rPr>
        <w:tab/>
      </w:r>
    </w:p>
  </w:footnote>
  <w:footnote w:id="2">
    <w:p w14:paraId="24A85CEE" w14:textId="77777777" w:rsidR="00D6082C" w:rsidRDefault="00D6082C" w:rsidP="00ED182D">
      <w:pPr>
        <w:pStyle w:val="FootnoteText"/>
        <w:tabs>
          <w:tab w:val="left" w:pos="709"/>
          <w:tab w:val="left" w:pos="851"/>
        </w:tabs>
        <w:ind w:left="360" w:hanging="360"/>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Convention 108 for the </w:t>
      </w:r>
      <w:bookmarkStart w:id="10" w:name="_9kR3WTr26648EbV14vfv2y45yTWyuDExA80J"/>
      <w:r w:rsidRPr="00E13758">
        <w:rPr>
          <w:rFonts w:ascii="Franklin Gothic Book" w:hAnsi="Franklin Gothic Book" w:cs="Times New Roman"/>
        </w:rPr>
        <w:t>Protection of Individuals</w:t>
      </w:r>
      <w:bookmarkEnd w:id="10"/>
      <w:r w:rsidRPr="00E13758">
        <w:rPr>
          <w:rFonts w:ascii="Franklin Gothic Book" w:hAnsi="Franklin Gothic Book" w:cs="Times New Roman"/>
        </w:rPr>
        <w:t xml:space="preserve"> </w:t>
      </w:r>
      <w:proofErr w:type="gramStart"/>
      <w:r w:rsidRPr="00E13758">
        <w:rPr>
          <w:rFonts w:ascii="Franklin Gothic Book" w:hAnsi="Franklin Gothic Book" w:cs="Times New Roman"/>
        </w:rPr>
        <w:t>with regard to</w:t>
      </w:r>
      <w:proofErr w:type="gramEnd"/>
      <w:r w:rsidRPr="00E13758">
        <w:rPr>
          <w:rFonts w:ascii="Franklin Gothic Book" w:hAnsi="Franklin Gothic Book" w:cs="Times New Roman"/>
        </w:rPr>
        <w:t xml:space="preserve"> automatic processing of personal</w:t>
      </w:r>
    </w:p>
    <w:p w14:paraId="6A01EF19" w14:textId="77777777" w:rsidR="00D6082C" w:rsidRPr="00E13758" w:rsidRDefault="00D6082C" w:rsidP="004218AA">
      <w:pPr>
        <w:pStyle w:val="FootnoteText"/>
        <w:tabs>
          <w:tab w:val="left" w:pos="709"/>
          <w:tab w:val="left" w:pos="851"/>
        </w:tabs>
        <w:rPr>
          <w:rFonts w:ascii="Franklin Gothic Book" w:hAnsi="Franklin Gothic Book" w:cs="Times New Roman"/>
          <w:lang w:val="en-US"/>
        </w:rPr>
      </w:pPr>
      <w:r w:rsidRPr="00E13758">
        <w:rPr>
          <w:rFonts w:ascii="Franklin Gothic Book" w:hAnsi="Franklin Gothic Book" w:cs="Times New Roman"/>
        </w:rPr>
        <w:t>data.</w:t>
      </w:r>
    </w:p>
  </w:footnote>
  <w:footnote w:id="3">
    <w:p w14:paraId="673E8DB6" w14:textId="77777777" w:rsidR="00D6082C" w:rsidRDefault="00D6082C" w:rsidP="00ED182D">
      <w:pPr>
        <w:pStyle w:val="FootnoteText"/>
        <w:tabs>
          <w:tab w:val="left" w:pos="709"/>
          <w:tab w:val="left" w:pos="851"/>
        </w:tabs>
        <w:ind w:left="360" w:hanging="360"/>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proofErr w:type="gramStart"/>
      <w:r w:rsidRPr="00E13758">
        <w:rPr>
          <w:rFonts w:ascii="Franklin Gothic Book" w:hAnsi="Franklin Gothic Book" w:cs="Times New Roman"/>
        </w:rPr>
        <w:t xml:space="preserve">OECD </w:t>
      </w:r>
      <w:bookmarkStart w:id="11" w:name="_9kR3WTr26647BQPyifotwtz"/>
      <w:r w:rsidRPr="00E13758">
        <w:rPr>
          <w:rFonts w:ascii="Franklin Gothic Book" w:hAnsi="Franklin Gothic Book" w:cs="Times New Roman"/>
        </w:rPr>
        <w:t>Guidelines</w:t>
      </w:r>
      <w:bookmarkEnd w:id="11"/>
      <w:r w:rsidRPr="00E13758">
        <w:rPr>
          <w:rFonts w:ascii="Franklin Gothic Book" w:hAnsi="Franklin Gothic Book" w:cs="Times New Roman"/>
        </w:rPr>
        <w:t xml:space="preserve"> on the </w:t>
      </w:r>
      <w:bookmarkStart w:id="12" w:name="_9kR3WTr26648FcV14vfv2y45yah7C5nCB15mv96"/>
      <w:r w:rsidRPr="00E13758">
        <w:rPr>
          <w:rFonts w:ascii="Franklin Gothic Book" w:hAnsi="Franklin Gothic Book" w:cs="Times New Roman"/>
        </w:rPr>
        <w:t>Protection of Privacy and Transborder Flows of Personal Data</w:t>
      </w:r>
      <w:bookmarkEnd w:id="12"/>
      <w:r w:rsidRPr="00E13758">
        <w:rPr>
          <w:rFonts w:ascii="Franklin Gothic Book" w:hAnsi="Franklin Gothic Book" w:cs="Times New Roman"/>
        </w:rPr>
        <w:t>,</w:t>
      </w:r>
      <w:proofErr w:type="gramEnd"/>
      <w:r w:rsidRPr="00E13758">
        <w:rPr>
          <w:rFonts w:ascii="Franklin Gothic Book" w:hAnsi="Franklin Gothic Book" w:cs="Times New Roman"/>
        </w:rPr>
        <w:t xml:space="preserve"> updated in</w:t>
      </w:r>
    </w:p>
    <w:p w14:paraId="65CF7414" w14:textId="77777777" w:rsidR="00D6082C" w:rsidRPr="00E13758" w:rsidRDefault="00D6082C" w:rsidP="00ED182D">
      <w:pPr>
        <w:pStyle w:val="FootnoteText"/>
        <w:tabs>
          <w:tab w:val="left" w:pos="709"/>
          <w:tab w:val="left" w:pos="851"/>
        </w:tabs>
        <w:ind w:left="360" w:hanging="360"/>
        <w:rPr>
          <w:rFonts w:ascii="Franklin Gothic Book" w:hAnsi="Franklin Gothic Book" w:cs="Times New Roman"/>
          <w:lang w:val="en-US"/>
        </w:rPr>
      </w:pPr>
      <w:r w:rsidRPr="00E13758">
        <w:rPr>
          <w:rFonts w:ascii="Franklin Gothic Book" w:hAnsi="Franklin Gothic Book" w:cs="Times New Roman"/>
        </w:rPr>
        <w:t>2013.</w:t>
      </w:r>
    </w:p>
  </w:footnote>
  <w:footnote w:id="4">
    <w:p w14:paraId="62A511DC" w14:textId="77777777" w:rsidR="00D6082C" w:rsidRDefault="00D6082C" w:rsidP="00ED182D">
      <w:pPr>
        <w:pStyle w:val="FootnoteText"/>
        <w:tabs>
          <w:tab w:val="left" w:pos="709"/>
          <w:tab w:val="left" w:pos="851"/>
        </w:tabs>
        <w:ind w:left="360" w:hanging="360"/>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Treaty of Lisbon amending the </w:t>
      </w:r>
      <w:bookmarkStart w:id="16" w:name="_9kR3WTr26649GgZrbrG"/>
      <w:r w:rsidRPr="00E13758">
        <w:rPr>
          <w:rFonts w:ascii="Franklin Gothic Book" w:hAnsi="Franklin Gothic Book" w:cs="Times New Roman"/>
        </w:rPr>
        <w:t>Treaty</w:t>
      </w:r>
      <w:bookmarkEnd w:id="16"/>
      <w:r w:rsidRPr="00E13758">
        <w:rPr>
          <w:rFonts w:ascii="Franklin Gothic Book" w:hAnsi="Franklin Gothic Book" w:cs="Times New Roman"/>
        </w:rPr>
        <w:t xml:space="preserve"> on European Union and the </w:t>
      </w:r>
      <w:bookmarkStart w:id="17" w:name="_9kMHG5YVt4886BIibtdtI"/>
      <w:r w:rsidRPr="00E13758">
        <w:rPr>
          <w:rFonts w:ascii="Franklin Gothic Book" w:hAnsi="Franklin Gothic Book" w:cs="Times New Roman"/>
        </w:rPr>
        <w:t>Treaty</w:t>
      </w:r>
      <w:bookmarkEnd w:id="17"/>
      <w:r w:rsidRPr="00E13758">
        <w:rPr>
          <w:rFonts w:ascii="Franklin Gothic Book" w:hAnsi="Franklin Gothic Book" w:cs="Times New Roman"/>
        </w:rPr>
        <w:t xml:space="preserve"> establishing the European</w:t>
      </w:r>
    </w:p>
    <w:p w14:paraId="71AB02A8" w14:textId="77777777" w:rsidR="00D6082C" w:rsidRPr="00E13758" w:rsidRDefault="00D6082C" w:rsidP="00ED182D">
      <w:pPr>
        <w:pStyle w:val="FootnoteText"/>
        <w:tabs>
          <w:tab w:val="left" w:pos="709"/>
          <w:tab w:val="left" w:pos="851"/>
        </w:tabs>
        <w:ind w:left="360" w:hanging="360"/>
        <w:rPr>
          <w:rFonts w:ascii="Franklin Gothic Book" w:hAnsi="Franklin Gothic Book" w:cs="Times New Roman"/>
        </w:rPr>
      </w:pPr>
      <w:r w:rsidRPr="00E13758">
        <w:rPr>
          <w:rFonts w:ascii="Franklin Gothic Book" w:hAnsi="Franklin Gothic Book" w:cs="Times New Roman"/>
        </w:rPr>
        <w:t>Community, signed at Lisbon, 13 December 2007.</w:t>
      </w:r>
    </w:p>
  </w:footnote>
  <w:footnote w:id="5">
    <w:p w14:paraId="4891C9C9" w14:textId="77777777" w:rsidR="00D6082C" w:rsidRDefault="00D6082C" w:rsidP="00ED182D">
      <w:pPr>
        <w:pStyle w:val="FootnoteText"/>
        <w:tabs>
          <w:tab w:val="left" w:pos="709"/>
          <w:tab w:val="left" w:pos="851"/>
        </w:tabs>
        <w:ind w:left="360" w:hanging="360"/>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 xml:space="preserve">CJEU, </w:t>
      </w:r>
      <w:r w:rsidRPr="00E13758">
        <w:rPr>
          <w:rFonts w:ascii="Franklin Gothic Book" w:hAnsi="Franklin Gothic Book" w:cs="Times New Roman"/>
        </w:rPr>
        <w:t>Case C-553/07 (</w:t>
      </w:r>
      <w:proofErr w:type="spellStart"/>
      <w:r w:rsidRPr="00E13758">
        <w:rPr>
          <w:rFonts w:ascii="Franklin Gothic Book" w:hAnsi="Franklin Gothic Book" w:cs="Times New Roman"/>
          <w:i/>
        </w:rPr>
        <w:t>Rijkeboer</w:t>
      </w:r>
      <w:proofErr w:type="spellEnd"/>
      <w:r w:rsidRPr="00E13758">
        <w:rPr>
          <w:rFonts w:ascii="Franklin Gothic Book" w:hAnsi="Franklin Gothic Book" w:cs="Times New Roman"/>
          <w:iCs/>
        </w:rPr>
        <w:t>), judgment of May 7, 2009,</w:t>
      </w:r>
      <w:r w:rsidRPr="00E13758">
        <w:rPr>
          <w:rFonts w:ascii="Franklin Gothic Book" w:hAnsi="Franklin Gothic Book" w:cs="Times New Roman"/>
        </w:rPr>
        <w:t xml:space="preserve"> § 47; CJEU, Joined Cases C-293/12 and</w:t>
      </w:r>
    </w:p>
    <w:p w14:paraId="1BF70D72" w14:textId="77777777" w:rsidR="00D6082C" w:rsidRDefault="00D6082C" w:rsidP="00ED182D">
      <w:pPr>
        <w:pStyle w:val="FootnoteText"/>
        <w:tabs>
          <w:tab w:val="left" w:pos="709"/>
          <w:tab w:val="left" w:pos="851"/>
        </w:tabs>
        <w:ind w:left="360" w:hanging="360"/>
        <w:rPr>
          <w:rFonts w:ascii="Franklin Gothic Book" w:hAnsi="Franklin Gothic Book" w:cs="Times New Roman"/>
        </w:rPr>
      </w:pPr>
      <w:r w:rsidRPr="00E13758">
        <w:rPr>
          <w:rFonts w:ascii="Franklin Gothic Book" w:hAnsi="Franklin Gothic Book" w:cs="Times New Roman"/>
        </w:rPr>
        <w:t>C-594/12 (</w:t>
      </w:r>
      <w:r w:rsidRPr="00E13758">
        <w:rPr>
          <w:rFonts w:ascii="Franklin Gothic Book" w:hAnsi="Franklin Gothic Book" w:cs="Times New Roman"/>
          <w:i/>
        </w:rPr>
        <w:t>Digital Rights Ireland and Others</w:t>
      </w:r>
      <w:r w:rsidRPr="00E13758">
        <w:rPr>
          <w:rFonts w:ascii="Franklin Gothic Book" w:hAnsi="Franklin Gothic Book" w:cs="Times New Roman"/>
          <w:iCs/>
        </w:rPr>
        <w:t>)</w:t>
      </w:r>
      <w:r w:rsidRPr="00E13758">
        <w:rPr>
          <w:rFonts w:ascii="Franklin Gothic Book" w:hAnsi="Franklin Gothic Book" w:cs="Times New Roman"/>
        </w:rPr>
        <w:t xml:space="preserve">, </w:t>
      </w:r>
      <w:r w:rsidRPr="00E13758">
        <w:rPr>
          <w:rFonts w:ascii="Franklin Gothic Book" w:hAnsi="Franklin Gothic Book" w:cs="Times New Roman"/>
          <w:iCs/>
        </w:rPr>
        <w:t xml:space="preserve">judgment of April 8, 2014, </w:t>
      </w:r>
      <w:r w:rsidRPr="00E13758">
        <w:rPr>
          <w:rFonts w:ascii="Franklin Gothic Book" w:hAnsi="Franklin Gothic Book" w:cs="Times New Roman"/>
        </w:rPr>
        <w:t>§ 53; CJEU, Case C-131/12</w:t>
      </w:r>
    </w:p>
    <w:p w14:paraId="6FCB97B1" w14:textId="77777777" w:rsidR="00D6082C" w:rsidRPr="00E13758" w:rsidRDefault="00D6082C" w:rsidP="00ED182D">
      <w:pPr>
        <w:pStyle w:val="FootnoteText"/>
        <w:tabs>
          <w:tab w:val="left" w:pos="709"/>
          <w:tab w:val="left" w:pos="851"/>
        </w:tabs>
        <w:ind w:left="360" w:hanging="360"/>
        <w:rPr>
          <w:rFonts w:ascii="Franklin Gothic Book" w:hAnsi="Franklin Gothic Book" w:cs="Times New Roman"/>
          <w:lang w:val="en-US"/>
        </w:rPr>
      </w:pPr>
      <w:r w:rsidRPr="00E13758">
        <w:rPr>
          <w:rFonts w:ascii="Franklin Gothic Book" w:hAnsi="Franklin Gothic Book" w:cs="Times New Roman"/>
        </w:rPr>
        <w:t>(</w:t>
      </w:r>
      <w:r w:rsidRPr="00E13758">
        <w:rPr>
          <w:rFonts w:ascii="Franklin Gothic Book" w:hAnsi="Franklin Gothic Book" w:cs="Times New Roman"/>
          <w:i/>
        </w:rPr>
        <w:t>Google Spain and Google</w:t>
      </w:r>
      <w:r w:rsidRPr="00E13758">
        <w:rPr>
          <w:rFonts w:ascii="Franklin Gothic Book" w:hAnsi="Franklin Gothic Book" w:cs="Times New Roman"/>
          <w:iCs/>
        </w:rPr>
        <w:t>)</w:t>
      </w:r>
      <w:r w:rsidRPr="00E13758">
        <w:rPr>
          <w:rFonts w:ascii="Franklin Gothic Book" w:hAnsi="Franklin Gothic Book" w:cs="Times New Roman"/>
        </w:rPr>
        <w:t xml:space="preserve">, </w:t>
      </w:r>
      <w:r w:rsidRPr="00E13758">
        <w:rPr>
          <w:rFonts w:ascii="Franklin Gothic Book" w:hAnsi="Franklin Gothic Book" w:cs="Times New Roman"/>
          <w:iCs/>
        </w:rPr>
        <w:t>judgment of May 13, 2014,</w:t>
      </w:r>
      <w:r w:rsidRPr="00E13758">
        <w:rPr>
          <w:rFonts w:ascii="Franklin Gothic Book" w:hAnsi="Franklin Gothic Book" w:cs="Times New Roman"/>
        </w:rPr>
        <w:t xml:space="preserve"> §§ 53, 66 and 74.</w:t>
      </w:r>
    </w:p>
  </w:footnote>
  <w:footnote w:id="6">
    <w:p w14:paraId="708753DD" w14:textId="77777777" w:rsidR="00D6082C" w:rsidRDefault="00D6082C" w:rsidP="00ED182D">
      <w:pPr>
        <w:pStyle w:val="FootnoteText"/>
        <w:ind w:left="360" w:hanging="360"/>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 xml:space="preserve">See, for example, </w:t>
      </w:r>
      <w:bookmarkStart w:id="21" w:name="_9kR3WTr26645ANknzy5sx"/>
      <w:r w:rsidRPr="00E13758">
        <w:rPr>
          <w:rFonts w:ascii="Franklin Gothic Book" w:hAnsi="Franklin Gothic Book" w:cs="Times New Roman"/>
          <w:lang w:val="en-US"/>
        </w:rPr>
        <w:t>CJEU, Case</w:t>
      </w:r>
      <w:bookmarkEnd w:id="21"/>
      <w:r w:rsidRPr="00E13758">
        <w:rPr>
          <w:rFonts w:ascii="Franklin Gothic Book" w:hAnsi="Franklin Gothic Book" w:cs="Times New Roman"/>
          <w:lang w:val="en-US"/>
        </w:rPr>
        <w:t xml:space="preserve"> C-362/14 (</w:t>
      </w:r>
      <w:proofErr w:type="spellStart"/>
      <w:r w:rsidRPr="00E13758">
        <w:rPr>
          <w:rFonts w:ascii="Franklin Gothic Book" w:hAnsi="Franklin Gothic Book" w:cs="Times New Roman"/>
          <w:i/>
          <w:lang w:val="en-US"/>
        </w:rPr>
        <w:t>Schrems</w:t>
      </w:r>
      <w:proofErr w:type="spellEnd"/>
      <w:r w:rsidRPr="00E13758">
        <w:rPr>
          <w:rFonts w:ascii="Franklin Gothic Book" w:hAnsi="Franklin Gothic Book" w:cs="Times New Roman"/>
          <w:lang w:val="en-US"/>
        </w:rPr>
        <w:t xml:space="preserve">) </w:t>
      </w:r>
      <w:r w:rsidRPr="00E13758">
        <w:rPr>
          <w:rFonts w:ascii="Franklin Gothic Book" w:hAnsi="Franklin Gothic Book" w:cs="Times New Roman"/>
          <w:iCs/>
        </w:rPr>
        <w:t>judgment</w:t>
      </w:r>
      <w:r w:rsidRPr="00E13758">
        <w:rPr>
          <w:rFonts w:ascii="Franklin Gothic Book" w:hAnsi="Franklin Gothic Book" w:cs="Times New Roman"/>
          <w:lang w:val="en-US"/>
        </w:rPr>
        <w:t xml:space="preserve"> of October 6, 2015, § 38: “[T]he</w:t>
      </w:r>
    </w:p>
    <w:p w14:paraId="12A93B27" w14:textId="77777777" w:rsidR="00D6082C"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 xml:space="preserve">provisions of [DPD], </w:t>
      </w:r>
      <w:proofErr w:type="gramStart"/>
      <w:r w:rsidRPr="00E13758">
        <w:rPr>
          <w:rFonts w:ascii="Franklin Gothic Book" w:hAnsi="Franklin Gothic Book" w:cs="Times New Roman"/>
          <w:lang w:val="en-US"/>
        </w:rPr>
        <w:t>inasmuch as</w:t>
      </w:r>
      <w:proofErr w:type="gramEnd"/>
      <w:r w:rsidRPr="00E13758">
        <w:rPr>
          <w:rFonts w:ascii="Franklin Gothic Book" w:hAnsi="Franklin Gothic Book" w:cs="Times New Roman"/>
          <w:lang w:val="en-US"/>
        </w:rPr>
        <w:t xml:space="preserve"> they govern the processing of personal data liable to infringe</w:t>
      </w:r>
    </w:p>
    <w:p w14:paraId="014EF002" w14:textId="77777777" w:rsidR="00D6082C"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 xml:space="preserve">fundamental freedoms, </w:t>
      </w:r>
      <w:proofErr w:type="gramStart"/>
      <w:r w:rsidRPr="00E13758">
        <w:rPr>
          <w:rFonts w:ascii="Franklin Gothic Book" w:hAnsi="Franklin Gothic Book" w:cs="Times New Roman"/>
          <w:lang w:val="en-US"/>
        </w:rPr>
        <w:t>in particular the</w:t>
      </w:r>
      <w:proofErr w:type="gramEnd"/>
      <w:r w:rsidRPr="00E13758">
        <w:rPr>
          <w:rFonts w:ascii="Franklin Gothic Book" w:hAnsi="Franklin Gothic Book" w:cs="Times New Roman"/>
          <w:lang w:val="en-US"/>
        </w:rPr>
        <w:t xml:space="preserve"> right to respect for private life, must necessarily be interpreted in</w:t>
      </w:r>
    </w:p>
    <w:p w14:paraId="4C5A2FFA" w14:textId="77777777" w:rsidR="00D6082C" w:rsidRPr="00E13758"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the light of the fundamental rights guaranteed by the Charter.”</w:t>
      </w:r>
    </w:p>
  </w:footnote>
  <w:footnote w:id="7">
    <w:p w14:paraId="3AEF6CF4" w14:textId="77777777" w:rsidR="00D6082C" w:rsidRDefault="00D6082C" w:rsidP="00ED182D">
      <w:pPr>
        <w:pStyle w:val="FootnoteText"/>
        <w:ind w:left="360" w:hanging="360"/>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 xml:space="preserve">Recital 73 of GDPR; Article 29 Working Party, </w:t>
      </w:r>
      <w:bookmarkStart w:id="23" w:name="_9kR3WTr2664ACeAhDDbXyxy06JL"/>
      <w:r w:rsidRPr="00E13758">
        <w:rPr>
          <w:rFonts w:ascii="Franklin Gothic Book" w:hAnsi="Franklin Gothic Book" w:cs="Times New Roman"/>
          <w:lang w:val="en-US"/>
        </w:rPr>
        <w:t>WP 211, Opinion 01</w:t>
      </w:r>
      <w:bookmarkEnd w:id="23"/>
      <w:r w:rsidRPr="00E13758">
        <w:rPr>
          <w:rFonts w:ascii="Franklin Gothic Book" w:hAnsi="Franklin Gothic Book" w:cs="Times New Roman"/>
          <w:lang w:val="en-US"/>
        </w:rPr>
        <w:t>/2014 on the application of</w:t>
      </w:r>
    </w:p>
    <w:p w14:paraId="0E33977F" w14:textId="77777777" w:rsidR="00D6082C" w:rsidRDefault="00D6082C" w:rsidP="00ED182D">
      <w:pPr>
        <w:pStyle w:val="FootnoteText"/>
        <w:ind w:left="360" w:hanging="360"/>
        <w:rPr>
          <w:rFonts w:ascii="Franklin Gothic Book" w:hAnsi="Franklin Gothic Book" w:cs="Times New Roman"/>
        </w:rPr>
      </w:pPr>
      <w:r w:rsidRPr="00E13758">
        <w:rPr>
          <w:rFonts w:ascii="Franklin Gothic Book" w:hAnsi="Franklin Gothic Book" w:cs="Times New Roman"/>
          <w:lang w:val="en-US"/>
        </w:rPr>
        <w:t xml:space="preserve">necessity and proportionality concepts and data protection within the law enforcement sector, </w:t>
      </w:r>
      <w:r w:rsidRPr="00E13758">
        <w:rPr>
          <w:rFonts w:ascii="Franklin Gothic Book" w:hAnsi="Franklin Gothic Book" w:cs="Times New Roman"/>
        </w:rPr>
        <w:t>adopted on</w:t>
      </w:r>
    </w:p>
    <w:p w14:paraId="6C47A838" w14:textId="77777777" w:rsidR="00D6082C"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rPr>
        <w:t>February 27, 2014</w:t>
      </w:r>
      <w:r w:rsidRPr="00E13758">
        <w:rPr>
          <w:rFonts w:ascii="Franklin Gothic Book" w:hAnsi="Franklin Gothic Book" w:cs="Times New Roman"/>
          <w:lang w:val="en-US"/>
        </w:rPr>
        <w:t xml:space="preserve">; on safeguarding </w:t>
      </w:r>
      <w:proofErr w:type="gramStart"/>
      <w:r w:rsidRPr="00E13758">
        <w:rPr>
          <w:rFonts w:ascii="Franklin Gothic Book" w:hAnsi="Franklin Gothic Book" w:cs="Times New Roman"/>
          <w:lang w:val="en-US"/>
        </w:rPr>
        <w:t>irregularly</w:t>
      </w:r>
      <w:proofErr w:type="gramEnd"/>
      <w:r w:rsidRPr="00E13758">
        <w:rPr>
          <w:rFonts w:ascii="Franklin Gothic Book" w:hAnsi="Franklin Gothic Book" w:cs="Times New Roman"/>
          <w:lang w:val="en-US"/>
        </w:rPr>
        <w:t xml:space="preserve"> present migrants from discrimination in a human rights</w:t>
      </w:r>
    </w:p>
    <w:p w14:paraId="140D5852" w14:textId="77777777" w:rsidR="00D6082C" w:rsidRDefault="00D6082C" w:rsidP="00ED182D">
      <w:pPr>
        <w:pStyle w:val="FootnoteText"/>
        <w:ind w:left="360" w:hanging="360"/>
        <w:rPr>
          <w:rFonts w:ascii="Franklin Gothic Book" w:hAnsi="Franklin Gothic Book" w:cs="Times New Roman"/>
          <w:lang w:val="en-US"/>
        </w:rPr>
      </w:pPr>
      <w:proofErr w:type="gramStart"/>
      <w:r w:rsidRPr="00E13758">
        <w:rPr>
          <w:rFonts w:ascii="Franklin Gothic Book" w:hAnsi="Franklin Gothic Book" w:cs="Times New Roman"/>
          <w:lang w:val="en-US"/>
        </w:rPr>
        <w:t>context,</w:t>
      </w:r>
      <w:proofErr w:type="gramEnd"/>
      <w:r w:rsidRPr="00E13758">
        <w:rPr>
          <w:rFonts w:ascii="Franklin Gothic Book" w:hAnsi="Franklin Gothic Book" w:cs="Times New Roman"/>
          <w:lang w:val="en-US"/>
        </w:rPr>
        <w:t xml:space="preserve"> see also ECRI General Policy Recommendation No. 16 on safeguarding irregularly present</w:t>
      </w:r>
    </w:p>
    <w:p w14:paraId="5F01EB86" w14:textId="77777777" w:rsidR="00D6082C" w:rsidRPr="00E13758"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migrants from discrimination, adopted on March 16, 2016.</w:t>
      </w:r>
    </w:p>
  </w:footnote>
  <w:footnote w:id="8">
    <w:p w14:paraId="67B5542F" w14:textId="77777777" w:rsidR="00D6082C" w:rsidRDefault="00D6082C" w:rsidP="00ED182D">
      <w:pPr>
        <w:pStyle w:val="FootnoteText"/>
        <w:ind w:left="360" w:hanging="360"/>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 xml:space="preserve">For example, Case </w:t>
      </w:r>
      <w:r w:rsidRPr="00E13758">
        <w:rPr>
          <w:rFonts w:ascii="Franklin Gothic Book" w:hAnsi="Franklin Gothic Book" w:cs="Times New Roman"/>
        </w:rPr>
        <w:t>CJEU,</w:t>
      </w:r>
      <w:r w:rsidRPr="00E13758">
        <w:rPr>
          <w:rFonts w:ascii="Franklin Gothic Book" w:hAnsi="Franklin Gothic Book" w:cs="Times New Roman"/>
          <w:lang w:val="en-US"/>
        </w:rPr>
        <w:t xml:space="preserve"> F-46/09 </w:t>
      </w:r>
      <w:bookmarkStart w:id="24" w:name="_9kR3WTr26646DRxwB12teSyG8qnfn9u7K10"/>
      <w:r w:rsidRPr="00E13758">
        <w:rPr>
          <w:rFonts w:ascii="Franklin Gothic Book" w:hAnsi="Franklin Gothic Book" w:cs="Times New Roman"/>
          <w:lang w:val="en-US"/>
        </w:rPr>
        <w:t>(</w:t>
      </w:r>
      <w:r w:rsidRPr="00E13758">
        <w:rPr>
          <w:rFonts w:ascii="Franklin Gothic Book" w:hAnsi="Franklin Gothic Book" w:cs="Times New Roman"/>
          <w:i/>
          <w:iCs/>
          <w:lang w:val="en-US"/>
        </w:rPr>
        <w:t>EU Civil Service Tribunal</w:t>
      </w:r>
      <w:bookmarkEnd w:id="24"/>
      <w:r w:rsidRPr="00E13758">
        <w:rPr>
          <w:rFonts w:ascii="Franklin Gothic Book" w:hAnsi="Franklin Gothic Book" w:cs="Times New Roman"/>
          <w:lang w:val="en-US"/>
        </w:rPr>
        <w:t>),</w:t>
      </w:r>
      <w:r w:rsidRPr="00E13758">
        <w:rPr>
          <w:rFonts w:ascii="Franklin Gothic Book" w:hAnsi="Franklin Gothic Book" w:cs="Times New Roman"/>
          <w:iCs/>
        </w:rPr>
        <w:t xml:space="preserve"> judgment of July 5, 2011,</w:t>
      </w:r>
      <w:r w:rsidRPr="00E13758">
        <w:rPr>
          <w:rFonts w:ascii="Franklin Gothic Book" w:hAnsi="Franklin Gothic Book" w:cs="Times New Roman"/>
          <w:lang w:val="en-US"/>
        </w:rPr>
        <w:t xml:space="preserve"> §§ 122-127</w:t>
      </w:r>
    </w:p>
    <w:p w14:paraId="326B8D7B" w14:textId="77777777" w:rsidR="00D6082C" w:rsidRPr="00E13758"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(on medical data).</w:t>
      </w:r>
    </w:p>
  </w:footnote>
  <w:footnote w:id="9">
    <w:p w14:paraId="631F6B91" w14:textId="77777777" w:rsidR="00D6082C" w:rsidRDefault="00D6082C" w:rsidP="00ED182D">
      <w:pPr>
        <w:pStyle w:val="FootnoteText"/>
        <w:ind w:left="360" w:hanging="360"/>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See, specifically with respect to deviations from the purpose limitation principle discussed below,</w:t>
      </w:r>
    </w:p>
    <w:p w14:paraId="476E893E" w14:textId="77777777" w:rsidR="00D6082C"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 xml:space="preserve">Article 29 </w:t>
      </w:r>
      <w:r w:rsidRPr="00E13758">
        <w:rPr>
          <w:rFonts w:ascii="Franklin Gothic Book" w:hAnsi="Franklin Gothic Book" w:cs="Times New Roman"/>
        </w:rPr>
        <w:t>Working Party,</w:t>
      </w:r>
      <w:r w:rsidRPr="00E13758">
        <w:rPr>
          <w:rFonts w:ascii="Franklin Gothic Book" w:hAnsi="Franklin Gothic Book" w:cs="Times New Roman"/>
          <w:lang w:val="en-US"/>
        </w:rPr>
        <w:t xml:space="preserve"> WP 203, Opinion 03/2013 on purpose limitation, </w:t>
      </w:r>
      <w:r w:rsidRPr="00E13758">
        <w:rPr>
          <w:rFonts w:ascii="Franklin Gothic Book" w:hAnsi="Franklin Gothic Book" w:cs="Times New Roman"/>
        </w:rPr>
        <w:t>adopted on April 2, 2013,</w:t>
      </w:r>
      <w:r w:rsidRPr="00E13758">
        <w:rPr>
          <w:rFonts w:ascii="Franklin Gothic Book" w:hAnsi="Franklin Gothic Book" w:cs="Times New Roman"/>
          <w:lang w:val="en-US"/>
        </w:rPr>
        <w:t xml:space="preserve"> p.</w:t>
      </w:r>
    </w:p>
    <w:p w14:paraId="7693FB1E" w14:textId="77777777" w:rsidR="00D6082C" w:rsidRPr="00E13758" w:rsidRDefault="00D6082C" w:rsidP="00ED182D">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37-38.</w:t>
      </w:r>
    </w:p>
  </w:footnote>
  <w:footnote w:id="10">
    <w:p w14:paraId="2615A7CF" w14:textId="77777777" w:rsidR="00D6082C" w:rsidRPr="00E13758" w:rsidRDefault="00D6082C" w:rsidP="0005791A">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Pr>
          <w:rFonts w:ascii="Franklin Gothic Book" w:hAnsi="Franklin Gothic Book" w:cs="Times New Roman"/>
        </w:rPr>
        <w:t xml:space="preserve"> </w:t>
      </w:r>
      <w:r w:rsidRPr="00E13758">
        <w:rPr>
          <w:rFonts w:ascii="Franklin Gothic Book" w:hAnsi="Franklin Gothic Book" w:cs="Times New Roman"/>
        </w:rPr>
        <w:t xml:space="preserve">Recital 19, </w:t>
      </w:r>
      <w:hyperlink r:id="rId1" w:history="1">
        <w:r w:rsidRPr="00E13758">
          <w:rPr>
            <w:rStyle w:val="Hyperlink"/>
            <w:rFonts w:ascii="Franklin Gothic Book" w:hAnsi="Franklin Gothic Book" w:cs="Times New Roman"/>
          </w:rPr>
          <w:t>Amendments by the European Parliament to the Commission Proposal</w:t>
        </w:r>
      </w:hyperlink>
      <w:r w:rsidRPr="00E13758">
        <w:rPr>
          <w:rFonts w:ascii="Franklin Gothic Book" w:hAnsi="Franklin Gothic Book" w:cs="Times New Roman"/>
        </w:rPr>
        <w:t xml:space="preserve">, 24.9.2018, A8-0201/2018. </w:t>
      </w:r>
    </w:p>
  </w:footnote>
  <w:footnote w:id="11">
    <w:p w14:paraId="27D3780F" w14:textId="77777777" w:rsidR="00D6082C" w:rsidRPr="00E13758" w:rsidRDefault="00D6082C" w:rsidP="004218AA">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For example, Case CJEU, F-46/09 (</w:t>
      </w:r>
      <w:r w:rsidRPr="00E13758">
        <w:rPr>
          <w:rFonts w:ascii="Franklin Gothic Book" w:hAnsi="Franklin Gothic Book" w:cs="Times New Roman"/>
          <w:i/>
          <w:iCs/>
        </w:rPr>
        <w:t>EU Civil Service Tribunal</w:t>
      </w:r>
      <w:r w:rsidRPr="00E13758">
        <w:rPr>
          <w:rFonts w:ascii="Franklin Gothic Book" w:hAnsi="Franklin Gothic Book" w:cs="Times New Roman"/>
        </w:rPr>
        <w:t xml:space="preserve">), judgment of July 5, 2011, §§ 122-127 (on medical data).  </w:t>
      </w:r>
    </w:p>
  </w:footnote>
  <w:footnote w:id="12">
    <w:p w14:paraId="76B19257" w14:textId="77777777" w:rsidR="00D6082C" w:rsidRPr="00E13758" w:rsidRDefault="00D6082C" w:rsidP="00ED182D">
      <w:pPr>
        <w:pStyle w:val="FootnoteText"/>
        <w:ind w:left="360" w:hanging="360"/>
        <w:rPr>
          <w:rFonts w:ascii="Franklin Gothic Book" w:hAnsi="Franklin Gothic Book" w:cs="Times New Roman"/>
          <w:lang w:val="en-US"/>
        </w:rPr>
      </w:pPr>
      <w:r w:rsidRPr="00E13758">
        <w:rPr>
          <w:rStyle w:val="FootnoteReference"/>
          <w:rFonts w:ascii="Franklin Gothic Book" w:hAnsi="Franklin Gothic Book" w:cs="Times New Roman"/>
        </w:rPr>
        <w:footnoteRef/>
      </w:r>
      <w:r>
        <w:rPr>
          <w:rFonts w:ascii="Franklin Gothic Book" w:hAnsi="Franklin Gothic Book" w:cs="Times New Roman"/>
        </w:rPr>
        <w:t xml:space="preserve"> </w:t>
      </w:r>
      <w:r w:rsidRPr="00E13758">
        <w:rPr>
          <w:rFonts w:ascii="Franklin Gothic Book" w:hAnsi="Franklin Gothic Book" w:cs="Times New Roman"/>
        </w:rPr>
        <w:t>CJEU, Case C-465/00 (</w:t>
      </w:r>
      <w:bookmarkStart w:id="28" w:name="_9kR3WTr1AB48GfKcgs67u02zy"/>
      <w:proofErr w:type="spellStart"/>
      <w:r w:rsidRPr="00E13758">
        <w:rPr>
          <w:rFonts w:ascii="Franklin Gothic Book" w:hAnsi="Franklin Gothic Book" w:cs="Times New Roman"/>
          <w:i/>
          <w:iCs/>
        </w:rPr>
        <w:t>Rechnungshof</w:t>
      </w:r>
      <w:bookmarkEnd w:id="28"/>
      <w:proofErr w:type="spellEnd"/>
      <w:r w:rsidRPr="00E13758">
        <w:rPr>
          <w:rFonts w:ascii="Franklin Gothic Book" w:hAnsi="Franklin Gothic Book" w:cs="Times New Roman"/>
        </w:rPr>
        <w:t>), Judgment of May 20, 2003, § 82-90, 94.</w:t>
      </w:r>
    </w:p>
  </w:footnote>
  <w:footnote w:id="13">
    <w:p w14:paraId="15480AF8" w14:textId="77777777" w:rsidR="00D6082C" w:rsidRPr="004218AA" w:rsidRDefault="00D6082C" w:rsidP="004218AA">
      <w:pPr>
        <w:pStyle w:val="FootnoteText"/>
        <w:rPr>
          <w:rStyle w:val="Hyperlink"/>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See one practitioner’s comments at Colin Yeo, 24 January 2018, “</w:t>
      </w:r>
      <w:r>
        <w:rPr>
          <w:rFonts w:ascii="Franklin Gothic Book" w:hAnsi="Franklin Gothic Book" w:cs="Times New Roman"/>
        </w:rPr>
        <w:fldChar w:fldCharType="begin"/>
      </w:r>
      <w:r>
        <w:rPr>
          <w:rFonts w:ascii="Franklin Gothic Book" w:hAnsi="Franklin Gothic Book" w:cs="Times New Roman"/>
        </w:rPr>
        <w:instrText xml:space="preserve"> HYPERLINK "https://www.freemovement.org.uk/how-complex-are-the-uk-immigration-rules-and-is-this-a-problem/" </w:instrText>
      </w:r>
      <w:r>
        <w:rPr>
          <w:rFonts w:ascii="Franklin Gothic Book" w:hAnsi="Franklin Gothic Book" w:cs="Times New Roman"/>
        </w:rPr>
        <w:fldChar w:fldCharType="separate"/>
      </w:r>
      <w:r w:rsidRPr="004218AA">
        <w:rPr>
          <w:rStyle w:val="Hyperlink"/>
          <w:rFonts w:ascii="Franklin Gothic Book" w:hAnsi="Franklin Gothic Book" w:cs="Times New Roman"/>
        </w:rPr>
        <w:t>How complex is UK immigration</w:t>
      </w:r>
    </w:p>
    <w:p w14:paraId="07D98D36" w14:textId="77777777" w:rsidR="00D6082C" w:rsidRPr="004218AA" w:rsidRDefault="00D6082C" w:rsidP="004218AA">
      <w:pPr>
        <w:pStyle w:val="FootnoteText"/>
        <w:rPr>
          <w:rFonts w:ascii="Franklin Gothic Book" w:hAnsi="Franklin Gothic Book" w:cs="Times New Roman"/>
        </w:rPr>
      </w:pPr>
      <w:r w:rsidRPr="004218AA">
        <w:rPr>
          <w:rStyle w:val="Hyperlink"/>
          <w:rFonts w:ascii="Franklin Gothic Book" w:hAnsi="Franklin Gothic Book" w:cs="Times New Roman"/>
        </w:rPr>
        <w:t>law and is this a problem?</w:t>
      </w:r>
      <w:r>
        <w:rPr>
          <w:rFonts w:ascii="Franklin Gothic Book" w:hAnsi="Franklin Gothic Book" w:cs="Times New Roman"/>
        </w:rPr>
        <w:fldChar w:fldCharType="end"/>
      </w:r>
      <w:r w:rsidRPr="00E13758">
        <w:rPr>
          <w:rFonts w:ascii="Franklin Gothic Book" w:hAnsi="Franklin Gothic Book" w:cs="Times New Roman"/>
        </w:rPr>
        <w:t xml:space="preserve">” </w:t>
      </w:r>
    </w:p>
  </w:footnote>
  <w:footnote w:id="14">
    <w:p w14:paraId="400AFE2D" w14:textId="77777777" w:rsidR="00D6082C" w:rsidRPr="00E13758" w:rsidRDefault="00D6082C" w:rsidP="00AC3E26">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Migration Observatory.</w:t>
      </w:r>
    </w:p>
  </w:footnote>
  <w:footnote w:id="15">
    <w:p w14:paraId="00C5C89D" w14:textId="77777777" w:rsidR="00D6082C" w:rsidRPr="00E13758" w:rsidRDefault="00D6082C" w:rsidP="00001461">
      <w:pPr>
        <w:pStyle w:val="FootnoteText"/>
        <w:rPr>
          <w:rStyle w:val="Hyperlink"/>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w:t>
      </w:r>
      <w:r w:rsidRPr="00E13758">
        <w:rPr>
          <w:rFonts w:ascii="Franklin Gothic Book" w:hAnsi="Franklin Gothic Book"/>
          <w:i/>
        </w:rPr>
        <w:t xml:space="preserve">See </w:t>
      </w:r>
      <w:r w:rsidRPr="00E13758">
        <w:rPr>
          <w:rFonts w:ascii="Franklin Gothic Book" w:hAnsi="Franklin Gothic Book"/>
        </w:rPr>
        <w:t xml:space="preserve">Liberty (2018), </w:t>
      </w:r>
      <w:r w:rsidRPr="00E13758">
        <w:rPr>
          <w:rFonts w:ascii="Franklin Gothic Book" w:hAnsi="Franklin Gothic Book"/>
        </w:rPr>
        <w:fldChar w:fldCharType="begin"/>
      </w:r>
      <w:r w:rsidRPr="00E13758">
        <w:rPr>
          <w:rFonts w:ascii="Franklin Gothic Book" w:hAnsi="Franklin Gothic Book"/>
        </w:rPr>
        <w:instrText xml:space="preserve"> HYPERLINK "https://www.libertyhumanrights.org.uk/sites/default/files/Liberty%20%27Care%20Don%27t%20Share%27%20Report%20280119%20RGB.pdf" </w:instrText>
      </w:r>
      <w:r w:rsidRPr="00E13758">
        <w:rPr>
          <w:rFonts w:ascii="Franklin Gothic Book" w:hAnsi="Franklin Gothic Book"/>
        </w:rPr>
        <w:fldChar w:fldCharType="separate"/>
      </w:r>
      <w:r w:rsidRPr="00E13758">
        <w:rPr>
          <w:rStyle w:val="Hyperlink"/>
          <w:rFonts w:ascii="Franklin Gothic Book" w:hAnsi="Franklin Gothic Book"/>
        </w:rPr>
        <w:t xml:space="preserve">Care Don’t Share - Hostile Environment Data-Sharing: Why We Need A Firewall   </w:t>
      </w:r>
    </w:p>
    <w:p w14:paraId="3EADCE5B" w14:textId="77777777" w:rsidR="00D6082C" w:rsidRPr="00E13758" w:rsidRDefault="00D6082C" w:rsidP="00001461">
      <w:pPr>
        <w:pStyle w:val="FootnoteText"/>
        <w:rPr>
          <w:rFonts w:ascii="Franklin Gothic Book" w:hAnsi="Franklin Gothic Book"/>
          <w:color w:val="0563C1" w:themeColor="hyperlink"/>
          <w:u w:val="single"/>
        </w:rPr>
      </w:pPr>
      <w:r w:rsidRPr="00E13758">
        <w:rPr>
          <w:rStyle w:val="Hyperlink"/>
          <w:rFonts w:ascii="Franklin Gothic Book" w:hAnsi="Franklin Gothic Book"/>
        </w:rPr>
        <w:t>Between Essential Public Services and Immigration Enforcement</w:t>
      </w:r>
      <w:r w:rsidRPr="00E13758">
        <w:rPr>
          <w:rFonts w:ascii="Franklin Gothic Book" w:hAnsi="Franklin Gothic Book"/>
        </w:rPr>
        <w:fldChar w:fldCharType="end"/>
      </w:r>
      <w:r w:rsidRPr="00E13758">
        <w:rPr>
          <w:rFonts w:ascii="Franklin Gothic Book" w:hAnsi="Franklin Gothic Book"/>
        </w:rPr>
        <w:t xml:space="preserve">. </w:t>
      </w:r>
    </w:p>
  </w:footnote>
  <w:footnote w:id="16">
    <w:p w14:paraId="2CD2500E" w14:textId="77777777" w:rsidR="00D6082C" w:rsidRPr="00E13758" w:rsidRDefault="00D6082C" w:rsidP="001134CD">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Pr>
          <w:rFonts w:ascii="Franklin Gothic Book" w:hAnsi="Franklin Gothic Book" w:cs="Times New Roman"/>
        </w:rPr>
        <w:t xml:space="preserve"> </w:t>
      </w:r>
      <w:r w:rsidRPr="00E13758">
        <w:rPr>
          <w:rFonts w:ascii="Franklin Gothic Book" w:hAnsi="Franklin Gothic Book" w:cs="Times New Roman"/>
        </w:rPr>
        <w:t xml:space="preserve">‘Leave the UK immediately’: scientist is the latest victim of Home Office blunder,’ </w:t>
      </w:r>
      <w:r w:rsidRPr="00E13758">
        <w:rPr>
          <w:rFonts w:ascii="Franklin Gothic Book" w:hAnsi="Franklin Gothic Book" w:cs="Times New Roman"/>
          <w:i/>
        </w:rPr>
        <w:t>The Guardian</w:t>
      </w:r>
      <w:r w:rsidRPr="00E13758">
        <w:rPr>
          <w:rFonts w:ascii="Franklin Gothic Book" w:hAnsi="Franklin Gothic Book" w:cs="Times New Roman"/>
        </w:rPr>
        <w:t xml:space="preserve">, 26 </w:t>
      </w:r>
    </w:p>
    <w:p w14:paraId="1B55E39C" w14:textId="77777777" w:rsidR="00D6082C" w:rsidRPr="00E13758" w:rsidRDefault="00D6082C" w:rsidP="001134CD">
      <w:pPr>
        <w:pStyle w:val="FootnoteText"/>
        <w:rPr>
          <w:rFonts w:ascii="Franklin Gothic Book" w:hAnsi="Franklin Gothic Book" w:cs="Times New Roman"/>
        </w:rPr>
      </w:pPr>
      <w:r w:rsidRPr="00E13758">
        <w:rPr>
          <w:rFonts w:ascii="Franklin Gothic Book" w:hAnsi="Franklin Gothic Book" w:cs="Times New Roman"/>
        </w:rPr>
        <w:t>September 2017.</w:t>
      </w:r>
    </w:p>
  </w:footnote>
  <w:footnote w:id="17">
    <w:p w14:paraId="490985D4" w14:textId="77777777" w:rsidR="00D6082C" w:rsidRPr="00E13758" w:rsidRDefault="00D6082C" w:rsidP="00ED182D">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An inspection of the ‘hostile environment’ measures relating to driving licenses and bank accounts, October 2016, </w:t>
      </w:r>
      <w:hyperlink r:id="rId2" w:history="1">
        <w:r w:rsidRPr="00E13758">
          <w:rPr>
            <w:rStyle w:val="Hyperlink"/>
            <w:rFonts w:ascii="Franklin Gothic Book" w:hAnsi="Franklin Gothic Book" w:cs="Times New Roman"/>
          </w:rPr>
          <w:t>https://www.gov.uk/government/uploads/system/uploads/attachment_data/file/567652/ICIBI-hostile-environmentdriving-licences-and-bank-accounts-January-to-July-2016.pdf</w:t>
        </w:r>
      </w:hyperlink>
      <w:r w:rsidRPr="00E13758">
        <w:rPr>
          <w:rFonts w:ascii="Franklin Gothic Book" w:hAnsi="Franklin Gothic Book" w:cs="Times New Roman"/>
        </w:rPr>
        <w:t xml:space="preserve"> </w:t>
      </w:r>
    </w:p>
  </w:footnote>
  <w:footnote w:id="18">
    <w:p w14:paraId="0D5FEBA9" w14:textId="77777777" w:rsidR="00D6082C" w:rsidRPr="00E13758" w:rsidRDefault="00D6082C" w:rsidP="002C4015">
      <w:pPr>
        <w:pStyle w:val="Default"/>
        <w:rPr>
          <w:rFonts w:cs="Times New Roman"/>
          <w:sz w:val="20"/>
          <w:szCs w:val="20"/>
        </w:rPr>
      </w:pPr>
      <w:r w:rsidRPr="00E13758">
        <w:rPr>
          <w:rStyle w:val="FootnoteReference"/>
          <w:rFonts w:cs="Times New Roman"/>
          <w:sz w:val="20"/>
          <w:szCs w:val="20"/>
        </w:rPr>
        <w:footnoteRef/>
      </w:r>
      <w:r w:rsidRPr="00E13758">
        <w:rPr>
          <w:rFonts w:cs="Times New Roman"/>
          <w:sz w:val="20"/>
          <w:szCs w:val="20"/>
        </w:rPr>
        <w:t xml:space="preserve"> See e.g., C-594/12 </w:t>
      </w:r>
      <w:r w:rsidRPr="00E13758">
        <w:rPr>
          <w:rFonts w:cs="Times New Roman"/>
          <w:i/>
          <w:iCs/>
          <w:sz w:val="20"/>
          <w:szCs w:val="20"/>
        </w:rPr>
        <w:t xml:space="preserve">Digital Rights Ireland and </w:t>
      </w:r>
      <w:proofErr w:type="spellStart"/>
      <w:r w:rsidRPr="00E13758">
        <w:rPr>
          <w:rFonts w:cs="Times New Roman"/>
          <w:i/>
          <w:iCs/>
          <w:sz w:val="20"/>
          <w:szCs w:val="20"/>
        </w:rPr>
        <w:t>Seitlinger</w:t>
      </w:r>
      <w:proofErr w:type="spellEnd"/>
      <w:r w:rsidRPr="00E13758">
        <w:rPr>
          <w:rFonts w:cs="Times New Roman"/>
          <w:i/>
          <w:iCs/>
          <w:sz w:val="20"/>
          <w:szCs w:val="20"/>
        </w:rPr>
        <w:t xml:space="preserve"> and Others </w:t>
      </w:r>
      <w:r w:rsidRPr="00E13758">
        <w:rPr>
          <w:rFonts w:cs="Times New Roman"/>
          <w:sz w:val="20"/>
          <w:szCs w:val="20"/>
        </w:rPr>
        <w:t xml:space="preserve">[2014] ECLI:EU:C:2014:238C-698/15 </w:t>
      </w:r>
      <w:r>
        <w:rPr>
          <w:rFonts w:cs="Times New Roman"/>
          <w:sz w:val="20"/>
          <w:szCs w:val="20"/>
        </w:rPr>
        <w:t xml:space="preserve"> </w:t>
      </w:r>
      <w:r w:rsidRPr="00E13758">
        <w:rPr>
          <w:rFonts w:cs="Times New Roman"/>
          <w:i/>
          <w:iCs/>
          <w:sz w:val="20"/>
          <w:szCs w:val="20"/>
        </w:rPr>
        <w:t>Tele2 Sverige AB v Post-</w:t>
      </w:r>
      <w:proofErr w:type="spellStart"/>
      <w:r w:rsidRPr="00E13758">
        <w:rPr>
          <w:rFonts w:cs="Times New Roman"/>
          <w:i/>
          <w:iCs/>
          <w:sz w:val="20"/>
          <w:szCs w:val="20"/>
        </w:rPr>
        <w:t>ochtelestyrelsen</w:t>
      </w:r>
      <w:proofErr w:type="spellEnd"/>
      <w:r w:rsidRPr="00E13758">
        <w:rPr>
          <w:rFonts w:cs="Times New Roman"/>
          <w:i/>
          <w:iCs/>
          <w:sz w:val="20"/>
          <w:szCs w:val="20"/>
        </w:rPr>
        <w:t xml:space="preserve"> and Secretary of State for the Home Department v Tom Watson </w:t>
      </w:r>
      <w:r>
        <w:rPr>
          <w:rFonts w:cs="Times New Roman"/>
          <w:i/>
          <w:iCs/>
          <w:sz w:val="20"/>
          <w:szCs w:val="20"/>
        </w:rPr>
        <w:t xml:space="preserve"> </w:t>
      </w:r>
      <w:r w:rsidRPr="00E13758">
        <w:rPr>
          <w:rFonts w:cs="Times New Roman"/>
          <w:i/>
          <w:iCs/>
          <w:sz w:val="20"/>
          <w:szCs w:val="20"/>
        </w:rPr>
        <w:t xml:space="preserve">and others </w:t>
      </w:r>
      <w:r w:rsidRPr="00E13758">
        <w:rPr>
          <w:rFonts w:cs="Times New Roman"/>
          <w:sz w:val="20"/>
          <w:szCs w:val="20"/>
        </w:rPr>
        <w:t xml:space="preserve">[2016] ECLI:EU:C:2016:970; Case C-362/14 </w:t>
      </w:r>
      <w:r w:rsidRPr="00E13758">
        <w:rPr>
          <w:rFonts w:cs="Times New Roman"/>
          <w:i/>
          <w:iCs/>
          <w:sz w:val="20"/>
          <w:szCs w:val="20"/>
        </w:rPr>
        <w:t xml:space="preserve">Maximilian </w:t>
      </w:r>
      <w:proofErr w:type="spellStart"/>
      <w:r w:rsidRPr="00E13758">
        <w:rPr>
          <w:rFonts w:cs="Times New Roman"/>
          <w:i/>
          <w:iCs/>
          <w:sz w:val="20"/>
          <w:szCs w:val="20"/>
        </w:rPr>
        <w:t>Schrems</w:t>
      </w:r>
      <w:proofErr w:type="spellEnd"/>
      <w:r w:rsidRPr="00E13758">
        <w:rPr>
          <w:rFonts w:cs="Times New Roman"/>
          <w:i/>
          <w:iCs/>
          <w:sz w:val="20"/>
          <w:szCs w:val="20"/>
        </w:rPr>
        <w:t xml:space="preserve"> </w:t>
      </w:r>
      <w:proofErr w:type="spellStart"/>
      <w:r w:rsidRPr="00E13758">
        <w:rPr>
          <w:rFonts w:cs="Times New Roman"/>
          <w:i/>
          <w:iCs/>
          <w:sz w:val="20"/>
          <w:szCs w:val="20"/>
        </w:rPr>
        <w:t>v.Data</w:t>
      </w:r>
      <w:proofErr w:type="spellEnd"/>
      <w:r w:rsidRPr="00E13758">
        <w:rPr>
          <w:rFonts w:cs="Times New Roman"/>
          <w:i/>
          <w:iCs/>
          <w:sz w:val="20"/>
          <w:szCs w:val="20"/>
        </w:rPr>
        <w:t xml:space="preserve"> Protection Commissioner </w:t>
      </w:r>
      <w:r w:rsidRPr="00E13758">
        <w:rPr>
          <w:rFonts w:cs="Times New Roman"/>
          <w:sz w:val="20"/>
          <w:szCs w:val="20"/>
        </w:rPr>
        <w:t xml:space="preserve">[2015] ECLI:EU:C:2015:650.  </w:t>
      </w:r>
    </w:p>
  </w:footnote>
  <w:footnote w:id="19">
    <w:p w14:paraId="33E07D79" w14:textId="77777777" w:rsidR="00D6082C" w:rsidRPr="00E13758" w:rsidRDefault="00D6082C" w:rsidP="003D1681">
      <w:pPr>
        <w:pStyle w:val="Default"/>
        <w:rPr>
          <w:rFonts w:cs="Times New Roman"/>
          <w:sz w:val="20"/>
          <w:szCs w:val="20"/>
        </w:rPr>
      </w:pPr>
      <w:r w:rsidRPr="00E13758">
        <w:rPr>
          <w:rStyle w:val="FootnoteReference"/>
          <w:rFonts w:cs="Times New Roman"/>
          <w:sz w:val="20"/>
          <w:szCs w:val="20"/>
        </w:rPr>
        <w:footnoteRef/>
      </w:r>
      <w:r w:rsidRPr="00E13758">
        <w:rPr>
          <w:rFonts w:cs="Times New Roman"/>
          <w:sz w:val="20"/>
          <w:szCs w:val="20"/>
        </w:rPr>
        <w:t xml:space="preserve"> See European Data Protection Supervisor (11 April 2017), </w:t>
      </w:r>
      <w:hyperlink r:id="rId3" w:history="1">
        <w:r w:rsidRPr="00E13758">
          <w:rPr>
            <w:rStyle w:val="Hyperlink"/>
            <w:rFonts w:cs="Times New Roman"/>
            <w:sz w:val="20"/>
            <w:szCs w:val="20"/>
          </w:rPr>
          <w:t>Assessing the necessity of measures that limit the fundamental right to the protection of personal data: A Toolkit</w:t>
        </w:r>
      </w:hyperlink>
      <w:r w:rsidRPr="00E13758">
        <w:rPr>
          <w:rFonts w:cs="Times New Roman"/>
          <w:sz w:val="20"/>
          <w:szCs w:val="20"/>
        </w:rPr>
        <w:t>. It is also relevant to consider the ECtHR’s test for necessity – that is a measure “</w:t>
      </w:r>
      <w:r w:rsidRPr="00E13758">
        <w:rPr>
          <w:rFonts w:cs="Times New Roman"/>
          <w:i/>
          <w:iCs/>
          <w:sz w:val="20"/>
          <w:szCs w:val="20"/>
        </w:rPr>
        <w:t>necessary in a democratic society</w:t>
      </w:r>
      <w:r w:rsidRPr="00E13758">
        <w:rPr>
          <w:rFonts w:cs="Times New Roman"/>
          <w:sz w:val="20"/>
          <w:szCs w:val="20"/>
        </w:rPr>
        <w:t>” – which, in the context of the protection of personal data, means that it must address “</w:t>
      </w:r>
      <w:r w:rsidRPr="00E13758">
        <w:rPr>
          <w:rFonts w:cs="Times New Roman"/>
          <w:i/>
          <w:iCs/>
          <w:sz w:val="20"/>
          <w:szCs w:val="20"/>
        </w:rPr>
        <w:t>a pressing social need”</w:t>
      </w:r>
      <w:r>
        <w:rPr>
          <w:rFonts w:cs="Times New Roman"/>
          <w:sz w:val="20"/>
          <w:szCs w:val="20"/>
        </w:rPr>
        <w:t xml:space="preserve">. </w:t>
      </w:r>
      <w:r w:rsidRPr="00E13758">
        <w:rPr>
          <w:rFonts w:cs="Times New Roman"/>
          <w:sz w:val="20"/>
          <w:szCs w:val="20"/>
        </w:rPr>
        <w:t xml:space="preserve">See e.g., </w:t>
      </w:r>
      <w:r w:rsidRPr="00E13758">
        <w:rPr>
          <w:rFonts w:cs="Times New Roman"/>
          <w:i/>
          <w:iCs/>
          <w:sz w:val="20"/>
          <w:szCs w:val="20"/>
        </w:rPr>
        <w:t xml:space="preserve">S and </w:t>
      </w:r>
      <w:proofErr w:type="spellStart"/>
      <w:r w:rsidRPr="00E13758">
        <w:rPr>
          <w:rFonts w:cs="Times New Roman"/>
          <w:i/>
          <w:iCs/>
          <w:sz w:val="20"/>
          <w:szCs w:val="20"/>
        </w:rPr>
        <w:t>Marper</w:t>
      </w:r>
      <w:proofErr w:type="spellEnd"/>
      <w:r w:rsidRPr="00E13758">
        <w:rPr>
          <w:rFonts w:cs="Times New Roman"/>
          <w:i/>
          <w:iCs/>
          <w:sz w:val="20"/>
          <w:szCs w:val="20"/>
        </w:rPr>
        <w:t xml:space="preserve"> v United Kingdom </w:t>
      </w:r>
      <w:r w:rsidRPr="00E13758">
        <w:rPr>
          <w:rFonts w:cs="Times New Roman"/>
          <w:sz w:val="20"/>
          <w:szCs w:val="20"/>
        </w:rPr>
        <w:t xml:space="preserve">Apps </w:t>
      </w:r>
      <w:proofErr w:type="spellStart"/>
      <w:r w:rsidRPr="00E13758">
        <w:rPr>
          <w:rFonts w:cs="Times New Roman"/>
          <w:sz w:val="20"/>
          <w:szCs w:val="20"/>
        </w:rPr>
        <w:t>nos</w:t>
      </w:r>
      <w:proofErr w:type="spellEnd"/>
      <w:r w:rsidRPr="00E13758">
        <w:rPr>
          <w:rFonts w:cs="Times New Roman"/>
          <w:sz w:val="20"/>
          <w:szCs w:val="20"/>
        </w:rPr>
        <w:t xml:space="preserve"> 30562/04 and 30566/04 (ECHR, 4 December 2008), para 101.  </w:t>
      </w:r>
    </w:p>
  </w:footnote>
  <w:footnote w:id="20">
    <w:p w14:paraId="463A64F2" w14:textId="77777777" w:rsidR="00D6082C" w:rsidRPr="00E13758" w:rsidRDefault="00D6082C">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Id. </w:t>
      </w:r>
    </w:p>
  </w:footnote>
  <w:footnote w:id="21">
    <w:p w14:paraId="493F7786" w14:textId="77777777" w:rsidR="00D6082C" w:rsidRPr="00E13758" w:rsidRDefault="00D6082C">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w:t>
      </w:r>
      <w:r w:rsidRPr="00E13758">
        <w:rPr>
          <w:rFonts w:ascii="Franklin Gothic Book" w:hAnsi="Franklin Gothic Book"/>
          <w:i/>
          <w:iCs/>
        </w:rPr>
        <w:t xml:space="preserve">Dudgeon v United Kingdom </w:t>
      </w:r>
      <w:r w:rsidRPr="00E13758">
        <w:rPr>
          <w:rFonts w:ascii="Franklin Gothic Book" w:hAnsi="Franklin Gothic Book"/>
        </w:rPr>
        <w:t>Appl. No. 7525/76 (ECtHR 22 October 1981) Par 60.</w:t>
      </w:r>
    </w:p>
  </w:footnote>
  <w:footnote w:id="22">
    <w:p w14:paraId="22D920D4" w14:textId="77777777" w:rsidR="00D6082C" w:rsidRPr="00E13758" w:rsidRDefault="00D6082C" w:rsidP="00D23FC8">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Baroness Williams of Trafford, Minister of State, Home Department, Debate in House of Lords on Data Protection Bill, 13 November 2017, available at </w:t>
      </w:r>
      <w:hyperlink r:id="rId4" w:history="1">
        <w:r w:rsidRPr="00E13758">
          <w:rPr>
            <w:rStyle w:val="Hyperlink"/>
            <w:rFonts w:ascii="Franklin Gothic Book" w:hAnsi="Franklin Gothic Book"/>
          </w:rPr>
          <w:t>https://www.theyworkforyou.com/lords/?id=2017-11-13b.1898.0</w:t>
        </w:r>
      </w:hyperlink>
      <w:r w:rsidRPr="00E13758">
        <w:rPr>
          <w:rFonts w:ascii="Franklin Gothic Book" w:hAnsi="Franklin Gothic Book"/>
        </w:rPr>
        <w:t xml:space="preserve">. </w:t>
      </w:r>
    </w:p>
  </w:footnote>
  <w:footnote w:id="23">
    <w:p w14:paraId="7ECD33FD" w14:textId="77777777" w:rsidR="00D6082C" w:rsidRPr="00E13758" w:rsidRDefault="00D6082C">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Lord Clement-Jones, Artificial Intelligence Committee, Liberal Democrat Lords Spokesperson (Digital), Part of Debate in House of Lords on Data Protection Bill, 13 November 2017, available at </w:t>
      </w:r>
      <w:hyperlink r:id="rId5" w:history="1">
        <w:r w:rsidRPr="00E13758">
          <w:rPr>
            <w:rStyle w:val="Hyperlink"/>
            <w:rFonts w:ascii="Franklin Gothic Book" w:hAnsi="Franklin Gothic Book"/>
          </w:rPr>
          <w:t>https://www.theyworkforyou.com/lords/?id=2017-11-13b.1908.3</w:t>
        </w:r>
      </w:hyperlink>
      <w:r w:rsidRPr="00E13758">
        <w:rPr>
          <w:rFonts w:ascii="Franklin Gothic Book" w:hAnsi="Franklin Gothic Book"/>
        </w:rPr>
        <w:t xml:space="preserve">. </w:t>
      </w:r>
    </w:p>
  </w:footnote>
  <w:footnote w:id="24">
    <w:p w14:paraId="21505BFC" w14:textId="77777777" w:rsidR="00D6082C" w:rsidRPr="00E13758" w:rsidRDefault="00D6082C" w:rsidP="00943B68">
      <w:pPr>
        <w:pStyle w:val="Default"/>
        <w:rPr>
          <w:rFonts w:cs="Times New Roman"/>
          <w:sz w:val="20"/>
          <w:szCs w:val="20"/>
        </w:rPr>
      </w:pPr>
      <w:r w:rsidRPr="00E13758">
        <w:rPr>
          <w:rStyle w:val="FootnoteReference"/>
          <w:rFonts w:cs="Times New Roman"/>
          <w:sz w:val="20"/>
          <w:szCs w:val="20"/>
        </w:rPr>
        <w:footnoteRef/>
      </w:r>
      <w:r w:rsidRPr="00E13758">
        <w:rPr>
          <w:rFonts w:cs="Times New Roman"/>
          <w:sz w:val="20"/>
          <w:szCs w:val="20"/>
        </w:rPr>
        <w:t xml:space="preserve">    See European Data Protection Supervisor (11 April 2017), </w:t>
      </w:r>
      <w:hyperlink r:id="rId6" w:history="1">
        <w:r w:rsidRPr="00E13758">
          <w:rPr>
            <w:rStyle w:val="Hyperlink"/>
            <w:rFonts w:cs="Times New Roman"/>
            <w:sz w:val="20"/>
            <w:szCs w:val="20"/>
          </w:rPr>
          <w:t>Assessing the necessity of measures that limit the fundamental right to the protection of personal data: A Toolkit</w:t>
        </w:r>
      </w:hyperlink>
      <w:r>
        <w:rPr>
          <w:rFonts w:cs="Times New Roman"/>
          <w:sz w:val="20"/>
          <w:szCs w:val="20"/>
        </w:rPr>
        <w:t xml:space="preserve"> (“EDPS Toolkit”).</w:t>
      </w:r>
      <w:r w:rsidRPr="00E13758">
        <w:rPr>
          <w:rFonts w:cs="Times New Roman"/>
          <w:sz w:val="20"/>
          <w:szCs w:val="20"/>
        </w:rPr>
        <w:t xml:space="preserve"> </w:t>
      </w:r>
    </w:p>
  </w:footnote>
  <w:footnote w:id="25">
    <w:p w14:paraId="22E59BC1" w14:textId="77777777" w:rsidR="00D6082C" w:rsidRPr="00E13758" w:rsidRDefault="00D6082C">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EDPS </w:t>
      </w:r>
      <w:hyperlink r:id="rId7" w:history="1">
        <w:r w:rsidRPr="002C4015">
          <w:rPr>
            <w:rStyle w:val="Hyperlink"/>
            <w:rFonts w:ascii="Franklin Gothic Book" w:hAnsi="Franklin Gothic Book"/>
          </w:rPr>
          <w:t>Toolkit</w:t>
        </w:r>
      </w:hyperlink>
      <w:r w:rsidRPr="00E13758">
        <w:rPr>
          <w:rFonts w:ascii="Franklin Gothic Book" w:hAnsi="Franklin Gothic Book"/>
        </w:rPr>
        <w:t xml:space="preserve">. </w:t>
      </w:r>
    </w:p>
  </w:footnote>
  <w:footnote w:id="26">
    <w:p w14:paraId="5D950058" w14:textId="77777777" w:rsidR="00D6082C" w:rsidRPr="00E13758" w:rsidRDefault="00D6082C" w:rsidP="009B4C49">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First Witness Statement of Matthew Rice, Open Rights Groups and the3Million v. The Secretary of State for the Home Department and the Secretary of State for Digital, Culture, Media, and Sport, 23 August 2018, at para. 8.</w:t>
      </w:r>
    </w:p>
  </w:footnote>
  <w:footnote w:id="27">
    <w:p w14:paraId="383B29E1" w14:textId="77777777" w:rsidR="00D6082C" w:rsidRPr="00E13758" w:rsidRDefault="00D6082C" w:rsidP="009B4C49">
      <w:pPr>
        <w:pStyle w:val="FootnoteText"/>
        <w:rPr>
          <w:rFonts w:ascii="Franklin Gothic Book" w:hAnsi="Franklin Gothic Book"/>
          <w:lang w:val="en-US"/>
        </w:rPr>
      </w:pPr>
      <w:r w:rsidRPr="00E13758">
        <w:rPr>
          <w:rStyle w:val="FootnoteReference"/>
          <w:rFonts w:ascii="Franklin Gothic Book" w:hAnsi="Franklin Gothic Book"/>
        </w:rPr>
        <w:footnoteRef/>
      </w:r>
      <w:r w:rsidRPr="00E13758">
        <w:rPr>
          <w:rFonts w:ascii="Franklin Gothic Book" w:hAnsi="Franklin Gothic Book"/>
        </w:rPr>
        <w:t xml:space="preserve"> </w:t>
      </w:r>
      <w:hyperlink r:id="rId8" w:history="1">
        <w:r w:rsidRPr="00E13758">
          <w:rPr>
            <w:rStyle w:val="Hyperlink"/>
            <w:rFonts w:ascii="Franklin Gothic Book" w:hAnsi="Franklin Gothic Book"/>
          </w:rPr>
          <w:t>https://publications.parliament.uk/pa/cm201719/cmselect/cmhaff/500/500.pdf</w:t>
        </w:r>
      </w:hyperlink>
      <w:r w:rsidRPr="00E13758">
        <w:rPr>
          <w:rFonts w:ascii="Franklin Gothic Book" w:hAnsi="Franklin Gothic Book"/>
          <w:lang w:val="en-US"/>
        </w:rPr>
        <w:t>&gt;.</w:t>
      </w:r>
    </w:p>
  </w:footnote>
  <w:footnote w:id="28">
    <w:p w14:paraId="50C26485" w14:textId="77777777" w:rsidR="00D6082C" w:rsidRPr="00E13758" w:rsidRDefault="00D6082C">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Yvette Cooper, Chair, Home Affairs Committee, Part of Data Protection Bill, House of Commons, 9 May 2018, available at </w:t>
      </w:r>
      <w:hyperlink r:id="rId9" w:history="1">
        <w:r w:rsidRPr="00E13758">
          <w:rPr>
            <w:rStyle w:val="Hyperlink"/>
            <w:rFonts w:ascii="Franklin Gothic Book" w:hAnsi="Franklin Gothic Book"/>
          </w:rPr>
          <w:t>https://www.theyworkforyou.com/debates/?id=2018-05-09a.771.1</w:t>
        </w:r>
      </w:hyperlink>
      <w:r w:rsidRPr="00E13758">
        <w:rPr>
          <w:rFonts w:ascii="Franklin Gothic Book" w:hAnsi="Franklin Gothic Book"/>
        </w:rPr>
        <w:t xml:space="preserve">. </w:t>
      </w:r>
    </w:p>
  </w:footnote>
  <w:footnote w:id="29">
    <w:p w14:paraId="4C971C9B" w14:textId="77777777" w:rsidR="00D6082C" w:rsidRPr="00E13758" w:rsidRDefault="00D6082C" w:rsidP="00E13758">
      <w:pPr>
        <w:spacing w:after="0"/>
        <w:jc w:val="both"/>
        <w:rPr>
          <w:rFonts w:ascii="Franklin Gothic Book" w:hAnsi="Franklin Gothic Book" w:cs="Times New Roman"/>
          <w:sz w:val="20"/>
          <w:szCs w:val="20"/>
        </w:rPr>
      </w:pPr>
      <w:r w:rsidRPr="00E13758">
        <w:rPr>
          <w:rStyle w:val="FootnoteReference"/>
          <w:sz w:val="20"/>
          <w:szCs w:val="20"/>
        </w:rPr>
        <w:footnoteRef/>
      </w:r>
      <w:r w:rsidRPr="00E13758">
        <w:rPr>
          <w:sz w:val="20"/>
          <w:szCs w:val="20"/>
        </w:rPr>
        <w:t xml:space="preserve"> </w:t>
      </w:r>
      <w:r>
        <w:rPr>
          <w:sz w:val="20"/>
          <w:szCs w:val="20"/>
        </w:rPr>
        <w:t xml:space="preserve">UN </w:t>
      </w:r>
      <w:r w:rsidRPr="00E13758">
        <w:rPr>
          <w:rFonts w:ascii="Franklin Gothic Book" w:hAnsi="Franklin Gothic Book" w:cs="Times New Roman"/>
          <w:sz w:val="20"/>
          <w:szCs w:val="20"/>
        </w:rPr>
        <w:t xml:space="preserve">Committee on Economic, Social and Cultural Rights (13 March 2013) E/C.12/2017/1, </w:t>
      </w:r>
      <w:hyperlink r:id="rId10" w:history="1">
        <w:r w:rsidRPr="00E13758">
          <w:rPr>
            <w:rStyle w:val="Hyperlink"/>
            <w:rFonts w:ascii="Franklin Gothic Book" w:hAnsi="Franklin Gothic Book" w:cs="Times New Roman"/>
            <w:sz w:val="20"/>
            <w:szCs w:val="20"/>
          </w:rPr>
          <w:t>Duties of States towards refugees and migrants under the International Covenant on Economic, Social and Cultural Rights – Statement by the Committee on Economic, Social and Cultural Rights</w:t>
        </w:r>
      </w:hyperlink>
      <w:r w:rsidRPr="00E13758">
        <w:rPr>
          <w:rFonts w:ascii="Franklin Gothic Book" w:hAnsi="Franklin Gothic Book" w:cs="Times New Roman"/>
          <w:sz w:val="20"/>
          <w:szCs w:val="20"/>
        </w:rPr>
        <w:t>.</w:t>
      </w:r>
    </w:p>
  </w:footnote>
  <w:footnote w:id="30">
    <w:p w14:paraId="5C313B6D" w14:textId="77777777" w:rsidR="00D6082C" w:rsidRPr="00E13758" w:rsidRDefault="00D6082C" w:rsidP="00580967">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“Ordinarily resident” is </w:t>
      </w:r>
      <w:r w:rsidRPr="00E13758">
        <w:rPr>
          <w:rStyle w:val="Emphasis"/>
          <w:rFonts w:ascii="Franklin Gothic Book" w:hAnsi="Franklin Gothic Book" w:cs="Times New Roman"/>
          <w:i w:val="0"/>
          <w:color w:val="000000"/>
        </w:rPr>
        <w:t>defined as non-EEA citizens with indefinite leave to remain. Other longer-term visa holders are required to pay an immigration health surcharge to access all NHS services; overseas visitors are charged 150% of the normal tariff and Clinical Commissioning Groups and hospitals have a duty to report to the Home Office any patients who owe ₤500 or more for two months, who have no negotiated payment plan. Holders of visitors’ visas and undocumented migrants are the main chargeable groups under current rules.</w:t>
      </w:r>
    </w:p>
  </w:footnote>
  <w:footnote w:id="31">
    <w:p w14:paraId="67C1AB9F" w14:textId="77777777" w:rsidR="00D6082C" w:rsidRPr="002C4015" w:rsidRDefault="00D6082C">
      <w:pPr>
        <w:pStyle w:val="FootnoteText"/>
        <w:rPr>
          <w:rFonts w:ascii="Franklin Gothic Book" w:hAnsi="Franklin Gothic Book" w:cs="Times New Roman"/>
          <w:i/>
        </w:rPr>
      </w:pPr>
      <w:r w:rsidRPr="00E13758">
        <w:rPr>
          <w:rStyle w:val="FootnoteReference"/>
          <w:rFonts w:ascii="Franklin Gothic Book" w:hAnsi="Franklin Gothic Book" w:cs="Times New Roman"/>
        </w:rPr>
        <w:footnoteRef/>
      </w:r>
      <w:r w:rsidRPr="002C4015">
        <w:rPr>
          <w:rFonts w:ascii="Franklin Gothic Book" w:hAnsi="Franklin Gothic Book" w:cs="Times New Roman"/>
        </w:rPr>
        <w:t xml:space="preserve">      Damien Gayle, 15 December 2016, “</w:t>
      </w:r>
      <w:hyperlink r:id="rId11" w:history="1">
        <w:r w:rsidRPr="002C4015">
          <w:rPr>
            <w:rStyle w:val="Hyperlink"/>
            <w:rFonts w:ascii="Franklin Gothic Book" w:hAnsi="Franklin Gothic Book" w:cs="Times New Roman"/>
          </w:rPr>
          <w:t>Pupil data shared with Home Office to ‘create hostile environment’ for illegal migrants</w:t>
        </w:r>
      </w:hyperlink>
      <w:r>
        <w:rPr>
          <w:rFonts w:ascii="Franklin Gothic Book" w:hAnsi="Franklin Gothic Book" w:cs="Times New Roman"/>
        </w:rPr>
        <w:t xml:space="preserve">”, </w:t>
      </w:r>
      <w:r>
        <w:rPr>
          <w:rFonts w:ascii="Franklin Gothic Book" w:hAnsi="Franklin Gothic Book" w:cs="Times New Roman"/>
          <w:i/>
        </w:rPr>
        <w:t>The Guardian.</w:t>
      </w:r>
    </w:p>
  </w:footnote>
  <w:footnote w:id="32">
    <w:p w14:paraId="0BE1E99A" w14:textId="77777777" w:rsidR="00D6082C" w:rsidRPr="00E13758" w:rsidRDefault="00D6082C">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proofErr w:type="spellStart"/>
      <w:r w:rsidRPr="00E13758">
        <w:rPr>
          <w:rFonts w:ascii="Franklin Gothic Book" w:hAnsi="Franklin Gothic Book" w:cs="Times New Roman"/>
        </w:rPr>
        <w:t>Catrin</w:t>
      </w:r>
      <w:proofErr w:type="spellEnd"/>
      <w:r w:rsidRPr="00E13758">
        <w:rPr>
          <w:rFonts w:ascii="Franklin Gothic Book" w:hAnsi="Franklin Gothic Book" w:cs="Times New Roman"/>
        </w:rPr>
        <w:t xml:space="preserve"> Nye, Natalie Bloomer and Samir </w:t>
      </w:r>
      <w:proofErr w:type="spellStart"/>
      <w:r w:rsidRPr="00E13758">
        <w:rPr>
          <w:rFonts w:ascii="Franklin Gothic Book" w:hAnsi="Franklin Gothic Book" w:cs="Times New Roman"/>
        </w:rPr>
        <w:t>Jeraj</w:t>
      </w:r>
      <w:proofErr w:type="spellEnd"/>
      <w:r w:rsidRPr="00E13758">
        <w:rPr>
          <w:rFonts w:ascii="Franklin Gothic Book" w:hAnsi="Franklin Gothic Book" w:cs="Times New Roman"/>
        </w:rPr>
        <w:t>, 14 May 2018</w:t>
      </w:r>
      <w:r>
        <w:rPr>
          <w:rFonts w:ascii="Franklin Gothic Book" w:hAnsi="Franklin Gothic Book" w:cs="Times New Roman"/>
        </w:rPr>
        <w:t>, “</w:t>
      </w:r>
      <w:hyperlink r:id="rId12" w:history="1">
        <w:r w:rsidRPr="002C4015">
          <w:rPr>
            <w:rStyle w:val="Hyperlink"/>
            <w:rFonts w:ascii="Franklin Gothic Book" w:hAnsi="Franklin Gothic Book" w:cs="Times New Roman"/>
          </w:rPr>
          <w:t>Victims of serious crime face arrest over immigration status</w:t>
        </w:r>
      </w:hyperlink>
      <w:r>
        <w:rPr>
          <w:rFonts w:ascii="Franklin Gothic Book" w:hAnsi="Franklin Gothic Book" w:cs="Times New Roman"/>
        </w:rPr>
        <w:t xml:space="preserve">”, </w:t>
      </w:r>
      <w:r>
        <w:rPr>
          <w:rFonts w:ascii="Franklin Gothic Book" w:hAnsi="Franklin Gothic Book" w:cs="Times New Roman"/>
          <w:i/>
        </w:rPr>
        <w:t>BBC</w:t>
      </w:r>
      <w:r w:rsidRPr="00E13758">
        <w:rPr>
          <w:rFonts w:ascii="Franklin Gothic Book" w:hAnsi="Franklin Gothic Book" w:cs="Times New Roman"/>
        </w:rPr>
        <w:t xml:space="preserve">. See also </w:t>
      </w:r>
      <w:r>
        <w:rPr>
          <w:rFonts w:ascii="Franklin Gothic Book" w:hAnsi="Franklin Gothic Book"/>
        </w:rPr>
        <w:t xml:space="preserve">Samir </w:t>
      </w:r>
      <w:proofErr w:type="spellStart"/>
      <w:r>
        <w:rPr>
          <w:rFonts w:ascii="Franklin Gothic Book" w:hAnsi="Franklin Gothic Book"/>
        </w:rPr>
        <w:t>Jeraj</w:t>
      </w:r>
      <w:proofErr w:type="spellEnd"/>
      <w:r>
        <w:rPr>
          <w:rFonts w:ascii="Franklin Gothic Book" w:hAnsi="Franklin Gothic Book"/>
        </w:rPr>
        <w:t>, Natalie Bloomer, 28 November 2017, “</w:t>
      </w:r>
      <w:hyperlink r:id="rId13" w:history="1">
        <w:r w:rsidRPr="002C4015">
          <w:rPr>
            <w:rStyle w:val="Hyperlink"/>
            <w:rFonts w:ascii="Franklin Gothic Book" w:hAnsi="Franklin Gothic Book"/>
          </w:rPr>
          <w:t>Woman reports rape to police – and is arrested on immigration charges</w:t>
        </w:r>
      </w:hyperlink>
      <w:r>
        <w:rPr>
          <w:rFonts w:ascii="Franklin Gothic Book" w:hAnsi="Franklin Gothic Book"/>
        </w:rPr>
        <w:t xml:space="preserve">,” </w:t>
      </w:r>
      <w:r>
        <w:rPr>
          <w:rFonts w:ascii="Franklin Gothic Book" w:hAnsi="Franklin Gothic Book"/>
          <w:i/>
        </w:rPr>
        <w:t>Politics.</w:t>
      </w:r>
      <w:r>
        <w:rPr>
          <w:rFonts w:ascii="Franklin Gothic Book" w:hAnsi="Franklin Gothic Book" w:cs="Times New Roman"/>
        </w:rPr>
        <w:t xml:space="preserve"> </w:t>
      </w:r>
    </w:p>
  </w:footnote>
  <w:footnote w:id="33">
    <w:p w14:paraId="74CB6F91" w14:textId="77777777" w:rsidR="00D6082C" w:rsidRPr="00E13758" w:rsidRDefault="00D6082C">
      <w:pPr>
        <w:pStyle w:val="FootnoteText"/>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NPCC Press Release, 7 December, “</w:t>
      </w:r>
      <w:hyperlink r:id="rId14" w:history="1">
        <w:r w:rsidRPr="00E13758">
          <w:rPr>
            <w:rStyle w:val="Hyperlink"/>
            <w:rFonts w:ascii="Franklin Gothic Book" w:hAnsi="Franklin Gothic Book" w:cs="Times New Roman"/>
            <w:lang w:val="en-US"/>
          </w:rPr>
          <w:t>New guidance for officers on sharing information with Immigration Enforcement</w:t>
        </w:r>
      </w:hyperlink>
      <w:r w:rsidRPr="00E13758">
        <w:rPr>
          <w:rFonts w:ascii="Franklin Gothic Book" w:hAnsi="Franklin Gothic Book" w:cs="Times New Roman"/>
          <w:lang w:val="en-US"/>
        </w:rPr>
        <w:t>.”</w:t>
      </w:r>
    </w:p>
  </w:footnote>
  <w:footnote w:id="34">
    <w:p w14:paraId="3B83F77A" w14:textId="77777777" w:rsidR="00D6082C" w:rsidRPr="00E13758" w:rsidRDefault="00D6082C">
      <w:pPr>
        <w:pStyle w:val="FootnoteText"/>
        <w:rPr>
          <w:rFonts w:ascii="Franklin Gothic Book" w:hAnsi="Franklin Gothic Book"/>
        </w:rPr>
      </w:pPr>
      <w:r w:rsidRPr="00E13758">
        <w:rPr>
          <w:rStyle w:val="FootnoteReference"/>
          <w:rFonts w:ascii="Franklin Gothic Book" w:hAnsi="Franklin Gothic Book"/>
        </w:rPr>
        <w:footnoteRef/>
      </w:r>
      <w:r w:rsidRPr="00E13758">
        <w:rPr>
          <w:rFonts w:ascii="Franklin Gothic Book" w:hAnsi="Franklin Gothic Book"/>
        </w:rPr>
        <w:t xml:space="preserve"> Denis Campbell, “</w:t>
      </w:r>
      <w:hyperlink r:id="rId15" w:history="1">
        <w:r w:rsidRPr="00E13758">
          <w:rPr>
            <w:rStyle w:val="Hyperlink"/>
            <w:rFonts w:ascii="Franklin Gothic Book" w:hAnsi="Franklin Gothic Book"/>
          </w:rPr>
          <w:t>NHS will no longer have to share immigrants’ data with Home Office</w:t>
        </w:r>
      </w:hyperlink>
      <w:r w:rsidRPr="00E13758">
        <w:rPr>
          <w:rFonts w:ascii="Franklin Gothic Book" w:hAnsi="Franklin Gothic Book"/>
        </w:rPr>
        <w:t xml:space="preserve">,” </w:t>
      </w:r>
      <w:r w:rsidRPr="00E13758">
        <w:rPr>
          <w:rFonts w:ascii="Franklin Gothic Book" w:hAnsi="Franklin Gothic Book"/>
          <w:i/>
        </w:rPr>
        <w:t xml:space="preserve">The Guardian, </w:t>
      </w:r>
      <w:r w:rsidRPr="00E13758">
        <w:rPr>
          <w:rFonts w:ascii="Franklin Gothic Book" w:hAnsi="Franklin Gothic Book"/>
        </w:rPr>
        <w:t xml:space="preserve">9 May 2018. </w:t>
      </w:r>
    </w:p>
  </w:footnote>
  <w:footnote w:id="35">
    <w:p w14:paraId="50B9C914" w14:textId="77777777" w:rsidR="00D6082C" w:rsidRPr="002C4015" w:rsidRDefault="00D6082C" w:rsidP="002C4015">
      <w:pPr>
        <w:spacing w:after="0"/>
        <w:jc w:val="both"/>
        <w:rPr>
          <w:rFonts w:ascii="Franklin Gothic Book" w:hAnsi="Franklin Gothic Book" w:cs="Times New Roman"/>
          <w:i/>
          <w:sz w:val="20"/>
          <w:szCs w:val="20"/>
          <w:lang w:val="en-US"/>
        </w:rPr>
      </w:pPr>
      <w:r w:rsidRPr="00E13758">
        <w:rPr>
          <w:rStyle w:val="FootnoteReference"/>
          <w:rFonts w:ascii="Franklin Gothic Book" w:hAnsi="Franklin Gothic Book" w:cs="Times New Roman"/>
          <w:sz w:val="20"/>
          <w:szCs w:val="20"/>
        </w:rPr>
        <w:footnoteRef/>
      </w:r>
      <w:r w:rsidRPr="00E13758">
        <w:rPr>
          <w:rFonts w:ascii="Franklin Gothic Book" w:hAnsi="Franklin Gothic Book" w:cs="Times New Roman"/>
          <w:sz w:val="20"/>
          <w:szCs w:val="20"/>
        </w:rPr>
        <w:t xml:space="preserve"> </w:t>
      </w:r>
      <w:r>
        <w:rPr>
          <w:rFonts w:ascii="Franklin Gothic Book" w:hAnsi="Franklin Gothic Book" w:cs="Times New Roman"/>
          <w:sz w:val="20"/>
          <w:szCs w:val="20"/>
        </w:rPr>
        <w:t>Alan Travis, 24 January 2017, “</w:t>
      </w:r>
      <w:hyperlink r:id="rId16" w:history="1">
        <w:r w:rsidRPr="002C4015">
          <w:rPr>
            <w:rStyle w:val="Hyperlink"/>
            <w:rFonts w:ascii="Franklin Gothic Book" w:hAnsi="Franklin Gothic Book" w:cs="Times New Roman"/>
            <w:sz w:val="20"/>
            <w:szCs w:val="20"/>
          </w:rPr>
          <w:t>NHS hands over patient records to Home Office for immigration crackdown</w:t>
        </w:r>
      </w:hyperlink>
      <w:r>
        <w:rPr>
          <w:rFonts w:ascii="Franklin Gothic Book" w:hAnsi="Franklin Gothic Book" w:cs="Times New Roman"/>
          <w:sz w:val="20"/>
          <w:szCs w:val="20"/>
        </w:rPr>
        <w:t xml:space="preserve">”, </w:t>
      </w:r>
      <w:r>
        <w:rPr>
          <w:rFonts w:ascii="Franklin Gothic Book" w:hAnsi="Franklin Gothic Book" w:cs="Times New Roman"/>
          <w:i/>
          <w:sz w:val="20"/>
          <w:szCs w:val="20"/>
        </w:rPr>
        <w:t xml:space="preserve">The Guardian. </w:t>
      </w:r>
    </w:p>
  </w:footnote>
  <w:footnote w:id="36">
    <w:p w14:paraId="0263E23B" w14:textId="77777777" w:rsidR="00D6082C" w:rsidRPr="00E13758" w:rsidRDefault="00D6082C" w:rsidP="00580967">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See, e.g., Liberty, </w:t>
      </w:r>
      <w:r w:rsidRPr="002C4015">
        <w:rPr>
          <w:rFonts w:ascii="Franklin Gothic Book" w:hAnsi="Franklin Gothic Book" w:cs="Times New Roman"/>
        </w:rPr>
        <w:t>A Guide to the Hostile Environment</w:t>
      </w:r>
      <w:r w:rsidRPr="00E13758">
        <w:rPr>
          <w:rFonts w:ascii="Franklin Gothic Book" w:hAnsi="Franklin Gothic Book" w:cs="Times New Roman"/>
        </w:rPr>
        <w:t xml:space="preserve">, April 2018. </w:t>
      </w:r>
    </w:p>
  </w:footnote>
  <w:footnote w:id="37">
    <w:p w14:paraId="4CEA9C5E" w14:textId="77777777" w:rsidR="00D6082C" w:rsidRPr="00E13758" w:rsidRDefault="00D6082C" w:rsidP="00580967">
      <w:pPr>
        <w:pStyle w:val="FootnoteText"/>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 xml:space="preserve">Independent Chief Inspector of Borders and Immigration, </w:t>
      </w:r>
      <w:r w:rsidRPr="00E13758">
        <w:rPr>
          <w:rFonts w:ascii="Franklin Gothic Book" w:hAnsi="Franklin Gothic Book" w:cs="Times New Roman"/>
          <w:i/>
          <w:lang w:val="en-US"/>
        </w:rPr>
        <w:t>An Inspection of the ‘Right to Rent’ Scheme</w:t>
      </w:r>
      <w:r w:rsidRPr="00E13758">
        <w:rPr>
          <w:rFonts w:ascii="Franklin Gothic Book" w:hAnsi="Franklin Gothic Book" w:cs="Times New Roman"/>
          <w:lang w:val="en-US"/>
        </w:rPr>
        <w:t>, March 2018.</w:t>
      </w:r>
    </w:p>
  </w:footnote>
  <w:footnote w:id="38">
    <w:p w14:paraId="5F7D9F0F" w14:textId="77777777" w:rsidR="00D6082C" w:rsidRPr="00E13758" w:rsidRDefault="00D6082C" w:rsidP="00580967">
      <w:pPr>
        <w:pStyle w:val="FootnoteText"/>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See, e.g., UK Parliament, “Memorandum of understanding on data-sharing inquiry”, </w:t>
      </w:r>
      <w:hyperlink r:id="rId17" w:history="1">
        <w:r w:rsidRPr="00E13758">
          <w:rPr>
            <w:rStyle w:val="Hyperlink"/>
            <w:rFonts w:ascii="Franklin Gothic Book" w:hAnsi="Franklin Gothic Book" w:cs="Times New Roman"/>
          </w:rPr>
          <w:t>https://www.parliament.uk/business/committees/committees-a-z/commons-select/health-committee/inquiries/parliament-2017/mou-data-sharing-nhs-digital-home-office-inquiry-17-19/</w:t>
        </w:r>
      </w:hyperlink>
      <w:r w:rsidRPr="00E13758">
        <w:rPr>
          <w:rFonts w:ascii="Franklin Gothic Book" w:hAnsi="Franklin Gothic Book" w:cs="Times New Roman"/>
        </w:rPr>
        <w:t xml:space="preserve">. </w:t>
      </w:r>
    </w:p>
  </w:footnote>
  <w:footnote w:id="39">
    <w:p w14:paraId="714BFC48" w14:textId="77777777" w:rsidR="00D6082C" w:rsidRPr="00E13758" w:rsidRDefault="00D6082C" w:rsidP="00580967">
      <w:pPr>
        <w:pStyle w:val="FootnoteText"/>
        <w:rPr>
          <w:rFonts w:ascii="Franklin Gothic Book" w:hAnsi="Franklin Gothic Book" w:cs="Times New Roma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Russell Taylor, “Impact of the ‘hostile environment’ policy debate on 14 June 2018”, </w:t>
      </w:r>
      <w:r w:rsidRPr="00E13758">
        <w:rPr>
          <w:rFonts w:ascii="Franklin Gothic Book" w:hAnsi="Franklin Gothic Book" w:cs="Times New Roman"/>
          <w:i/>
        </w:rPr>
        <w:t>House of Commons</w:t>
      </w:r>
      <w:r w:rsidRPr="00E13758">
        <w:rPr>
          <w:rFonts w:ascii="Franklin Gothic Book" w:hAnsi="Franklin Gothic Book" w:cs="Times New Roman"/>
        </w:rPr>
        <w:t>, 11 June 2018.</w:t>
      </w:r>
    </w:p>
  </w:footnote>
  <w:footnote w:id="40">
    <w:p w14:paraId="0B1A3D56" w14:textId="77777777" w:rsidR="00D6082C" w:rsidRPr="00E13758" w:rsidRDefault="00D6082C" w:rsidP="00666277">
      <w:pPr>
        <w:pStyle w:val="FootnoteText"/>
        <w:rPr>
          <w:rFonts w:ascii="Franklin Gothic Book" w:hAnsi="Franklin Gothic Book"/>
          <w:lang w:val="en-US"/>
        </w:rPr>
      </w:pPr>
      <w:r w:rsidRPr="00E13758">
        <w:rPr>
          <w:rStyle w:val="FootnoteReference"/>
          <w:rFonts w:ascii="Franklin Gothic Book" w:hAnsi="Franklin Gothic Book"/>
        </w:rPr>
        <w:footnoteRef/>
      </w:r>
      <w:r w:rsidRPr="00E13758">
        <w:rPr>
          <w:rFonts w:ascii="Franklin Gothic Book" w:hAnsi="Franklin Gothic Book"/>
        </w:rPr>
        <w:t xml:space="preserve"> </w:t>
      </w:r>
      <w:r w:rsidRPr="00E13758">
        <w:rPr>
          <w:rFonts w:ascii="Franklin Gothic Book" w:hAnsi="Franklin Gothic Book"/>
          <w:lang w:val="en-US"/>
        </w:rPr>
        <w:t xml:space="preserve">Immigration Act 2016, Part 2 Access to Services, Residential tenancies, Section 33A. available at </w:t>
      </w:r>
      <w:hyperlink r:id="rId18" w:history="1">
        <w:r w:rsidRPr="008B0C48">
          <w:rPr>
            <w:rStyle w:val="Hyperlink"/>
            <w:rFonts w:ascii="Franklin Gothic Book" w:hAnsi="Franklin Gothic Book"/>
          </w:rPr>
          <w:t>http://www.legislation.gov.uk/ukpga/2016/19/part/2/enacted</w:t>
        </w:r>
      </w:hyperlink>
      <w:r w:rsidRPr="00E13758">
        <w:rPr>
          <w:rFonts w:ascii="Franklin Gothic Book" w:hAnsi="Franklin Gothic Book"/>
          <w:lang w:val="en-US"/>
        </w:rPr>
        <w:t>.</w:t>
      </w:r>
    </w:p>
  </w:footnote>
  <w:footnote w:id="41">
    <w:p w14:paraId="08AFC45E" w14:textId="77777777" w:rsidR="00D6082C" w:rsidRPr="00E13758" w:rsidRDefault="00D6082C" w:rsidP="00666277">
      <w:pPr>
        <w:pStyle w:val="FootnoteText"/>
        <w:rPr>
          <w:rFonts w:ascii="Franklin Gothic Book" w:hAnsi="Franklin Gothic Book"/>
          <w:lang w:val="en-US"/>
        </w:rPr>
      </w:pPr>
      <w:r w:rsidRPr="00E13758">
        <w:rPr>
          <w:rStyle w:val="FootnoteReference"/>
          <w:rFonts w:ascii="Franklin Gothic Book" w:hAnsi="Franklin Gothic Book"/>
        </w:rPr>
        <w:footnoteRef/>
      </w:r>
      <w:r>
        <w:rPr>
          <w:rFonts w:ascii="Franklin Gothic Book" w:hAnsi="Franklin Gothic Book"/>
        </w:rPr>
        <w:t xml:space="preserve"> JCWI v. Secretary of State for the Home Department [2019] EWHC 452 (Admin) (1 March 2019), available at </w:t>
      </w:r>
      <w:hyperlink r:id="rId19" w:history="1">
        <w:r w:rsidRPr="00E13758">
          <w:rPr>
            <w:rStyle w:val="Hyperlink"/>
            <w:rFonts w:ascii="Franklin Gothic Book" w:hAnsi="Franklin Gothic Book"/>
          </w:rPr>
          <w:t>https://www.bailii.org/ew/cases/EWHC/Admin/2019/452.html</w:t>
        </w:r>
      </w:hyperlink>
      <w:r>
        <w:rPr>
          <w:rStyle w:val="Hyperlink"/>
          <w:rFonts w:ascii="Franklin Gothic Book" w:hAnsi="Franklin Gothic Book"/>
        </w:rPr>
        <w:t xml:space="preserve">. </w:t>
      </w:r>
    </w:p>
  </w:footnote>
  <w:footnote w:id="42">
    <w:p w14:paraId="5A0CFF7F" w14:textId="77777777" w:rsidR="00D6082C" w:rsidRPr="00866D82" w:rsidRDefault="00D6082C">
      <w:pPr>
        <w:pStyle w:val="FootnoteText"/>
      </w:pPr>
      <w:r>
        <w:rPr>
          <w:rStyle w:val="FootnoteReference"/>
        </w:rPr>
        <w:footnoteRef/>
      </w:r>
      <w:r>
        <w:t xml:space="preserve"> </w:t>
      </w:r>
      <w:r w:rsidRPr="00E13758">
        <w:rPr>
          <w:rFonts w:ascii="Franklin Gothic Book" w:hAnsi="Franklin Gothic Book" w:cs="Times New Roman"/>
        </w:rPr>
        <w:t>In March 2016, the European Commission against Racism and Intolerance (ECRI) published General Policy Recommendation No. 16 (GPR 16) on safeguarding irregularly present migrants from discrimination. GPR 16 addresses “</w:t>
      </w:r>
      <w:r w:rsidRPr="00E13758">
        <w:rPr>
          <w:rFonts w:ascii="Franklin Gothic Book" w:hAnsi="Franklin Gothic Book" w:cs="Times New Roman"/>
          <w:i/>
        </w:rPr>
        <w:t>the pressing issue of discrimination which is causing grievous hardship to a substantial number of migrants who are irregularly present in member states</w:t>
      </w:r>
      <w:r w:rsidRPr="00E13758">
        <w:rPr>
          <w:rFonts w:ascii="Franklin Gothic Book" w:hAnsi="Franklin Gothic Book" w:cs="Times New Roman"/>
        </w:rPr>
        <w:t>,</w:t>
      </w:r>
      <w:r w:rsidRPr="00E13758">
        <w:rPr>
          <w:rFonts w:ascii="Franklin Gothic Book" w:hAnsi="Franklin Gothic Book" w:cs="Times New Roman"/>
          <w:i/>
        </w:rPr>
        <w:t xml:space="preserve">” </w:t>
      </w:r>
      <w:r w:rsidRPr="00E13758">
        <w:rPr>
          <w:rFonts w:ascii="Franklin Gothic Book" w:hAnsi="Franklin Gothic Book" w:cs="Times New Roman"/>
        </w:rPr>
        <w:t>presenting recommendations on how to safeguard their rights under international human rights instruments, particularly in the areas of education, health care, housing, social security and assistance, labour protection and justice. ECRI’s central recommendation to states is the creation of “</w:t>
      </w:r>
      <w:r w:rsidRPr="00E13758">
        <w:rPr>
          <w:rFonts w:ascii="Franklin Gothic Book" w:hAnsi="Franklin Gothic Book" w:cs="Times New Roman"/>
          <w:i/>
        </w:rPr>
        <w:t>firewalls</w:t>
      </w:r>
      <w:r w:rsidRPr="00E13758">
        <w:rPr>
          <w:rFonts w:ascii="Franklin Gothic Book" w:hAnsi="Franklin Gothic Book" w:cs="Times New Roman"/>
        </w:rPr>
        <w:t>” that “</w:t>
      </w:r>
      <w:r w:rsidRPr="00E13758">
        <w:rPr>
          <w:rFonts w:ascii="Franklin Gothic Book" w:hAnsi="Franklin Gothic Book" w:cs="Times New Roman"/>
          <w:i/>
        </w:rPr>
        <w:t>prohibit the sharing of personal data</w:t>
      </w:r>
      <w:r w:rsidRPr="00E13758">
        <w:rPr>
          <w:rFonts w:ascii="Franklin Gothic Book" w:hAnsi="Franklin Gothic Book" w:cs="Times New Roman"/>
        </w:rPr>
        <w:t>”</w:t>
      </w:r>
      <w:r w:rsidRPr="00E13758">
        <w:rPr>
          <w:rFonts w:ascii="Franklin Gothic Book" w:hAnsi="Franklin Gothic Book" w:cs="Times New Roman"/>
          <w:i/>
        </w:rPr>
        <w:t xml:space="preserve"> </w:t>
      </w:r>
      <w:r w:rsidRPr="00E13758">
        <w:rPr>
          <w:rFonts w:ascii="Franklin Gothic Book" w:hAnsi="Franklin Gothic Book" w:cs="Times New Roman"/>
        </w:rPr>
        <w:t>about people in an irregular situation “</w:t>
      </w:r>
      <w:r w:rsidRPr="00E13758">
        <w:rPr>
          <w:rFonts w:ascii="Franklin Gothic Book" w:hAnsi="Franklin Gothic Book" w:cs="Times New Roman"/>
          <w:i/>
        </w:rPr>
        <w:t>with the immigration authorities for purposes of immigration control and enforcement.</w:t>
      </w:r>
      <w:r w:rsidRPr="00E13758">
        <w:rPr>
          <w:rFonts w:ascii="Franklin Gothic Book" w:hAnsi="Franklin Gothic Book" w:cs="Times New Roman"/>
        </w:rPr>
        <w:t xml:space="preserve">” ECRI (2016), </w:t>
      </w:r>
      <w:hyperlink r:id="rId20" w:history="1">
        <w:r w:rsidRPr="00E13758">
          <w:rPr>
            <w:rStyle w:val="Hyperlink"/>
            <w:rFonts w:ascii="Franklin Gothic Book" w:hAnsi="Franklin Gothic Book" w:cs="Times New Roman"/>
          </w:rPr>
          <w:t>Safeguarding irregularly present migrants from discrimination</w:t>
        </w:r>
      </w:hyperlink>
      <w:r w:rsidRPr="00E13758">
        <w:rPr>
          <w:rFonts w:ascii="Franklin Gothic Book" w:hAnsi="Franklin Gothic Book" w:cs="Times New Roman"/>
        </w:rPr>
        <w:t xml:space="preserve">. See also Francois </w:t>
      </w:r>
      <w:proofErr w:type="spellStart"/>
      <w:r w:rsidRPr="00E13758">
        <w:rPr>
          <w:rFonts w:ascii="Franklin Gothic Book" w:hAnsi="Franklin Gothic Book" w:cs="Times New Roman"/>
        </w:rPr>
        <w:t>Crepeau</w:t>
      </w:r>
      <w:proofErr w:type="spellEnd"/>
      <w:r w:rsidRPr="00E13758">
        <w:rPr>
          <w:rFonts w:ascii="Franklin Gothic Book" w:hAnsi="Franklin Gothic Book" w:cs="Times New Roman"/>
        </w:rPr>
        <w:t xml:space="preserve">, Bethany Hastie, </w:t>
      </w:r>
      <w:r w:rsidRPr="00E13758">
        <w:rPr>
          <w:rFonts w:ascii="Franklin Gothic Book" w:hAnsi="Franklin Gothic Book" w:cs="Times New Roman"/>
          <w:i/>
        </w:rPr>
        <w:t>European Journal of Migration and Law</w:t>
      </w:r>
      <w:r w:rsidRPr="00E13758">
        <w:rPr>
          <w:rFonts w:ascii="Franklin Gothic Book" w:hAnsi="Franklin Gothic Book" w:cs="Times New Roman"/>
        </w:rPr>
        <w:t>, “The Case for ‘Firewall’ Protections for Irregular Migrants: Safeguarding Fundamental Rights,” 157-183 (17 May 2016)</w:t>
      </w:r>
      <w:r>
        <w:rPr>
          <w:rFonts w:ascii="Franklin Gothic Book" w:hAnsi="Franklin Gothic Book" w:cs="Times New Roman"/>
        </w:rPr>
        <w:t>.</w:t>
      </w:r>
    </w:p>
  </w:footnote>
  <w:footnote w:id="43">
    <w:p w14:paraId="3FB29190" w14:textId="77777777" w:rsidR="00D6082C" w:rsidRDefault="00D6082C" w:rsidP="00580967">
      <w:pPr>
        <w:pStyle w:val="FootnoteText"/>
        <w:ind w:left="360" w:hanging="360"/>
        <w:rPr>
          <w:rFonts w:ascii="Franklin Gothic Book" w:hAnsi="Franklin Gothic Book" w:cs="Times New Roman"/>
          <w:i/>
          <w:iC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r w:rsidRPr="00E13758">
        <w:rPr>
          <w:rFonts w:ascii="Franklin Gothic Book" w:hAnsi="Franklin Gothic Book" w:cs="Times New Roman"/>
          <w:lang w:val="en-US"/>
        </w:rPr>
        <w:t xml:space="preserve">Article 9(1) of GDPR; </w:t>
      </w:r>
      <w:bookmarkStart w:id="33" w:name="_9kR3WTr26649BZKchzslHL5xQt3I"/>
      <w:r w:rsidRPr="00E13758">
        <w:rPr>
          <w:rFonts w:ascii="Franklin Gothic Book" w:hAnsi="Franklin Gothic Book" w:cs="Times New Roman"/>
        </w:rPr>
        <w:t>Recital 51 of GDPR</w:t>
      </w:r>
      <w:bookmarkEnd w:id="33"/>
      <w:r w:rsidRPr="00E13758">
        <w:rPr>
          <w:rFonts w:ascii="Franklin Gothic Book" w:hAnsi="Franklin Gothic Book" w:cs="Times New Roman"/>
        </w:rPr>
        <w:t xml:space="preserve"> recognizes that the processing of these types of data “</w:t>
      </w:r>
      <w:r w:rsidRPr="00E13758">
        <w:rPr>
          <w:rFonts w:ascii="Franklin Gothic Book" w:hAnsi="Franklin Gothic Book" w:cs="Times New Roman"/>
          <w:i/>
          <w:iCs/>
        </w:rPr>
        <w:t>could</w:t>
      </w:r>
      <w:r>
        <w:rPr>
          <w:rFonts w:ascii="Franklin Gothic Book" w:hAnsi="Franklin Gothic Book" w:cs="Times New Roman"/>
          <w:i/>
          <w:iCs/>
        </w:rPr>
        <w:t xml:space="preserve"> </w:t>
      </w:r>
    </w:p>
    <w:p w14:paraId="408726C4" w14:textId="77777777" w:rsidR="00D6082C" w:rsidRPr="00E13758" w:rsidRDefault="00D6082C" w:rsidP="00580967">
      <w:pPr>
        <w:pStyle w:val="FootnoteText"/>
        <w:ind w:left="360" w:hanging="360"/>
        <w:rPr>
          <w:rFonts w:ascii="Franklin Gothic Book" w:hAnsi="Franklin Gothic Book" w:cs="Times New Roman"/>
          <w:lang w:val="en-US"/>
        </w:rPr>
      </w:pPr>
      <w:r w:rsidRPr="00E13758">
        <w:rPr>
          <w:rFonts w:ascii="Franklin Gothic Book" w:hAnsi="Franklin Gothic Book" w:cs="Times New Roman"/>
          <w:i/>
          <w:iCs/>
        </w:rPr>
        <w:t>create significant risks to the fundamental rights and freedoms</w:t>
      </w:r>
      <w:r w:rsidRPr="00E13758">
        <w:rPr>
          <w:rFonts w:ascii="Franklin Gothic Book" w:hAnsi="Franklin Gothic Book" w:cs="Times New Roman"/>
        </w:rPr>
        <w:t>”</w:t>
      </w:r>
      <w:r>
        <w:rPr>
          <w:rFonts w:ascii="Franklin Gothic Book" w:hAnsi="Franklin Gothic Book" w:cs="Times New Roman"/>
        </w:rPr>
        <w:t>,</w:t>
      </w:r>
      <w:r w:rsidRPr="00E13758">
        <w:rPr>
          <w:rFonts w:ascii="Franklin Gothic Book" w:hAnsi="Franklin Gothic Book" w:cs="Times New Roman"/>
        </w:rPr>
        <w:t xml:space="preserve"> of individuals.</w:t>
      </w:r>
    </w:p>
  </w:footnote>
  <w:footnote w:id="44">
    <w:p w14:paraId="1BE704CC" w14:textId="77777777" w:rsidR="00D6082C" w:rsidRDefault="00D6082C" w:rsidP="00580967">
      <w:pPr>
        <w:pStyle w:val="FootnoteText"/>
        <w:ind w:left="360" w:hanging="360"/>
        <w:rPr>
          <w:rFonts w:ascii="Franklin Gothic Book" w:hAnsi="Franklin Gothic Book" w:cs="Times New Roman"/>
          <w:lang w:val="en-US" w:eastAsia="zh-CN"/>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w:t>
      </w:r>
      <w:bookmarkStart w:id="34" w:name="_9kR3WTr26649DbKchzslJRbr1G"/>
      <w:r w:rsidRPr="00E13758">
        <w:rPr>
          <w:rFonts w:ascii="Franklin Gothic Book" w:hAnsi="Franklin Gothic Book" w:cs="Times New Roman"/>
          <w:lang w:val="en-US" w:eastAsia="zh-CN"/>
        </w:rPr>
        <w:t>Recital 75 of GDPR</w:t>
      </w:r>
      <w:bookmarkEnd w:id="34"/>
      <w:r w:rsidRPr="00E13758">
        <w:rPr>
          <w:rFonts w:ascii="Franklin Gothic Book" w:hAnsi="Franklin Gothic Book" w:cs="Times New Roman"/>
          <w:lang w:val="en-US" w:eastAsia="zh-CN"/>
        </w:rPr>
        <w:t>; t</w:t>
      </w:r>
      <w:r w:rsidRPr="00E13758">
        <w:rPr>
          <w:rFonts w:ascii="Franklin Gothic Book" w:hAnsi="Franklin Gothic Book" w:cs="Times New Roman"/>
        </w:rPr>
        <w:t xml:space="preserve">he </w:t>
      </w:r>
      <w:r w:rsidRPr="00E13758">
        <w:rPr>
          <w:rFonts w:ascii="Franklin Gothic Book" w:hAnsi="Franklin Gothic Book" w:cs="Times New Roman"/>
          <w:lang w:val="en-US" w:eastAsia="zh-CN"/>
        </w:rPr>
        <w:t xml:space="preserve">term </w:t>
      </w:r>
      <w:r w:rsidRPr="00E13758">
        <w:rPr>
          <w:rFonts w:ascii="Franklin Gothic Book" w:hAnsi="Franklin Gothic Book" w:cs="Times New Roman"/>
          <w:iCs/>
          <w:lang w:val="en-US" w:eastAsia="zh-CN"/>
        </w:rPr>
        <w:t>“</w:t>
      </w:r>
      <w:r w:rsidRPr="00E13758">
        <w:rPr>
          <w:rFonts w:ascii="Franklin Gothic Book" w:hAnsi="Franklin Gothic Book" w:cs="Times New Roman"/>
          <w:i/>
          <w:iCs/>
          <w:lang w:val="en-US" w:eastAsia="zh-CN"/>
        </w:rPr>
        <w:t>child</w:t>
      </w:r>
      <w:r w:rsidRPr="00E13758">
        <w:rPr>
          <w:rFonts w:ascii="Franklin Gothic Book" w:hAnsi="Franklin Gothic Book" w:cs="Times New Roman"/>
          <w:iCs/>
          <w:lang w:val="en-US" w:eastAsia="zh-CN"/>
        </w:rPr>
        <w:t>”</w:t>
      </w:r>
      <w:r w:rsidRPr="00E13758">
        <w:rPr>
          <w:rFonts w:ascii="Franklin Gothic Book" w:hAnsi="Franklin Gothic Book" w:cs="Times New Roman"/>
          <w:i/>
          <w:iCs/>
          <w:lang w:val="en-US" w:eastAsia="zh-CN"/>
        </w:rPr>
        <w:t xml:space="preserve"> </w:t>
      </w:r>
      <w:r w:rsidRPr="00E13758">
        <w:rPr>
          <w:rFonts w:ascii="Franklin Gothic Book" w:hAnsi="Franklin Gothic Book" w:cs="Times New Roman"/>
          <w:lang w:val="en-US" w:eastAsia="zh-CN"/>
        </w:rPr>
        <w:t>is not defined by GDPR and one must assume all legal minors of</w:t>
      </w:r>
      <w:r>
        <w:rPr>
          <w:rFonts w:ascii="Franklin Gothic Book" w:hAnsi="Franklin Gothic Book" w:cs="Times New Roman"/>
          <w:lang w:val="en-US" w:eastAsia="zh-CN"/>
        </w:rPr>
        <w:t xml:space="preserve"> </w:t>
      </w:r>
    </w:p>
    <w:p w14:paraId="08AFC68D" w14:textId="77777777" w:rsidR="00D6082C" w:rsidRPr="00E13758" w:rsidRDefault="00D6082C" w:rsidP="00580967">
      <w:pPr>
        <w:pStyle w:val="FootnoteText"/>
        <w:ind w:left="360" w:hanging="360"/>
        <w:rPr>
          <w:rFonts w:ascii="Franklin Gothic Book" w:hAnsi="Franklin Gothic Book" w:cs="Times New Roman"/>
        </w:rPr>
      </w:pPr>
      <w:r w:rsidRPr="00E13758">
        <w:rPr>
          <w:rFonts w:ascii="Franklin Gothic Book" w:hAnsi="Franklin Gothic Book" w:cs="Times New Roman"/>
          <w:lang w:val="en-US" w:eastAsia="zh-CN"/>
        </w:rPr>
        <w:t xml:space="preserve">age (as defined under national law) should be offered enhanced protection (see also </w:t>
      </w:r>
      <w:bookmarkStart w:id="35" w:name="_9kR3WTr26648HgKchzslFQer1G"/>
      <w:r w:rsidRPr="00E13758">
        <w:rPr>
          <w:rFonts w:ascii="Franklin Gothic Book" w:hAnsi="Franklin Gothic Book" w:cs="Times New Roman"/>
          <w:lang w:val="en-US" w:eastAsia="zh-CN"/>
        </w:rPr>
        <w:t>Recital 38 of GDPR</w:t>
      </w:r>
      <w:bookmarkEnd w:id="35"/>
      <w:r w:rsidRPr="00E13758">
        <w:rPr>
          <w:rFonts w:ascii="Franklin Gothic Book" w:hAnsi="Franklin Gothic Book" w:cs="Times New Roman"/>
          <w:lang w:val="en-US" w:eastAsia="zh-CN"/>
        </w:rPr>
        <w:t>).</w:t>
      </w:r>
    </w:p>
  </w:footnote>
  <w:footnote w:id="45">
    <w:p w14:paraId="5A60CACA" w14:textId="77777777" w:rsidR="00D6082C" w:rsidRDefault="00D6082C" w:rsidP="00955D19">
      <w:pPr>
        <w:pStyle w:val="FootnoteText"/>
        <w:ind w:left="360" w:hanging="360"/>
        <w:rPr>
          <w:rFonts w:ascii="Franklin Gothic Book" w:hAnsi="Franklin Gothic Book" w:cs="Times New Roman"/>
          <w:lang w:val="en-US"/>
        </w:rPr>
      </w:pPr>
      <w:r w:rsidRPr="00E13758">
        <w:rPr>
          <w:rStyle w:val="FootnoteReference"/>
          <w:rFonts w:ascii="Franklin Gothic Book" w:hAnsi="Franklin Gothic Book" w:cs="Times New Roman"/>
        </w:rPr>
        <w:footnoteRef/>
      </w:r>
      <w:r w:rsidRPr="00E13758">
        <w:rPr>
          <w:rFonts w:ascii="Franklin Gothic Book" w:hAnsi="Franklin Gothic Book" w:cs="Times New Roman"/>
        </w:rPr>
        <w:t xml:space="preserve"> Examples where GDPR offers specific protection to children include: (</w:t>
      </w:r>
      <w:proofErr w:type="spellStart"/>
      <w:r w:rsidRPr="00E13758">
        <w:rPr>
          <w:rFonts w:ascii="Franklin Gothic Book" w:hAnsi="Franklin Gothic Book" w:cs="Times New Roman"/>
        </w:rPr>
        <w:t>i</w:t>
      </w:r>
      <w:proofErr w:type="spellEnd"/>
      <w:r w:rsidRPr="00E13758">
        <w:rPr>
          <w:rFonts w:ascii="Franklin Gothic Book" w:hAnsi="Franklin Gothic Book" w:cs="Times New Roman"/>
        </w:rPr>
        <w:t>) t</w:t>
      </w:r>
      <w:r w:rsidRPr="00E13758">
        <w:rPr>
          <w:rFonts w:ascii="Franklin Gothic Book" w:hAnsi="Franklin Gothic Book" w:cs="Times New Roman"/>
          <w:lang w:val="en-US"/>
        </w:rPr>
        <w:t>he rights and freedoms of a</w:t>
      </w:r>
    </w:p>
    <w:p w14:paraId="4E5090BB" w14:textId="77777777" w:rsidR="00D6082C" w:rsidRDefault="00D6082C" w:rsidP="00955D19">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rPr>
        <w:t>data subject may “</w:t>
      </w:r>
      <w:r w:rsidRPr="00E13758">
        <w:rPr>
          <w:rFonts w:ascii="Franklin Gothic Book" w:hAnsi="Franklin Gothic Book" w:cs="Times New Roman"/>
          <w:i/>
          <w:iCs/>
          <w:lang w:val="en-US"/>
        </w:rPr>
        <w:t>in particular</w:t>
      </w:r>
      <w:r w:rsidRPr="00E13758">
        <w:rPr>
          <w:rFonts w:ascii="Franklin Gothic Book" w:hAnsi="Franklin Gothic Book" w:cs="Times New Roman"/>
          <w:lang w:val="en-US"/>
        </w:rPr>
        <w:t>”</w:t>
      </w:r>
      <w:r w:rsidRPr="00E13758">
        <w:rPr>
          <w:rFonts w:ascii="Franklin Gothic Book" w:hAnsi="Franklin Gothic Book" w:cs="Times New Roman"/>
          <w:i/>
          <w:iCs/>
          <w:lang w:val="en-US"/>
        </w:rPr>
        <w:t xml:space="preserve"> </w:t>
      </w:r>
      <w:r w:rsidRPr="00E13758">
        <w:rPr>
          <w:rFonts w:ascii="Franklin Gothic Book" w:hAnsi="Franklin Gothic Book" w:cs="Times New Roman"/>
          <w:lang w:val="en-US"/>
        </w:rPr>
        <w:t>override the interests of the controller who is relying on legitimate</w:t>
      </w:r>
      <w:r>
        <w:rPr>
          <w:rFonts w:ascii="Franklin Gothic Book" w:hAnsi="Franklin Gothic Book" w:cs="Times New Roman"/>
          <w:lang w:val="en-US"/>
        </w:rPr>
        <w:t xml:space="preserve"> </w:t>
      </w:r>
    </w:p>
    <w:p w14:paraId="03CD3E9D" w14:textId="77777777" w:rsidR="00D6082C" w:rsidRDefault="00D6082C" w:rsidP="00955D19">
      <w:pPr>
        <w:pStyle w:val="FootnoteText"/>
        <w:ind w:left="360" w:hanging="360"/>
        <w:rPr>
          <w:rFonts w:ascii="Franklin Gothic Book" w:hAnsi="Franklin Gothic Book" w:cs="Times New Roman"/>
          <w:lang w:val="en-US" w:eastAsia="zh-CN"/>
        </w:rPr>
      </w:pPr>
      <w:r w:rsidRPr="00E13758">
        <w:rPr>
          <w:rFonts w:ascii="Franklin Gothic Book" w:hAnsi="Franklin Gothic Book" w:cs="Times New Roman"/>
          <w:lang w:val="en-US"/>
        </w:rPr>
        <w:t>interests for processing “</w:t>
      </w:r>
      <w:r w:rsidRPr="00E13758">
        <w:rPr>
          <w:rFonts w:ascii="Franklin Gothic Book" w:hAnsi="Franklin Gothic Book" w:cs="Times New Roman"/>
          <w:i/>
          <w:iCs/>
          <w:lang w:val="en-US"/>
        </w:rPr>
        <w:t>where the relevant data subject is a child</w:t>
      </w:r>
      <w:r w:rsidRPr="00E13758">
        <w:rPr>
          <w:rFonts w:ascii="Franklin Gothic Book" w:hAnsi="Franklin Gothic Book" w:cs="Times New Roman"/>
          <w:lang w:val="en-US"/>
        </w:rPr>
        <w:t>” (</w:t>
      </w:r>
      <w:r w:rsidRPr="00E13758">
        <w:rPr>
          <w:rFonts w:ascii="Franklin Gothic Book" w:hAnsi="Franklin Gothic Book" w:cs="Times New Roman"/>
          <w:lang w:val="en-US" w:eastAsia="zh-CN"/>
        </w:rPr>
        <w:t xml:space="preserve">Article 6(1)(f) of GDPR); (ii) when </w:t>
      </w:r>
    </w:p>
    <w:p w14:paraId="73E7B6FE" w14:textId="77777777" w:rsidR="00D6082C" w:rsidRDefault="00D6082C" w:rsidP="00955D19">
      <w:pPr>
        <w:pStyle w:val="FootnoteText"/>
        <w:ind w:left="360" w:hanging="360"/>
        <w:rPr>
          <w:rFonts w:ascii="Franklin Gothic Book" w:hAnsi="Franklin Gothic Book" w:cs="Times New Roman"/>
          <w:lang w:val="en-US" w:eastAsia="zh-CN"/>
        </w:rPr>
      </w:pPr>
      <w:r w:rsidRPr="00E13758">
        <w:rPr>
          <w:rFonts w:ascii="Franklin Gothic Book" w:hAnsi="Franklin Gothic Book" w:cs="Times New Roman"/>
          <w:lang w:val="en-US" w:eastAsia="zh-CN"/>
        </w:rPr>
        <w:t xml:space="preserve">processing of personal data is based on consent, parental consent must be obtained for information </w:t>
      </w:r>
    </w:p>
    <w:p w14:paraId="1B6423B0" w14:textId="77777777" w:rsidR="00D6082C" w:rsidRDefault="00D6082C" w:rsidP="00955D19">
      <w:pPr>
        <w:pStyle w:val="FootnoteText"/>
        <w:ind w:left="360" w:hanging="360"/>
        <w:rPr>
          <w:rFonts w:ascii="Franklin Gothic Book" w:hAnsi="Franklin Gothic Book" w:cs="Times New Roman"/>
          <w:lang w:val="en-US" w:eastAsia="zh-CN"/>
        </w:rPr>
      </w:pPr>
      <w:r w:rsidRPr="00E13758">
        <w:rPr>
          <w:rFonts w:ascii="Franklin Gothic Book" w:hAnsi="Franklin Gothic Book" w:cs="Times New Roman"/>
          <w:lang w:val="en-US" w:eastAsia="zh-CN"/>
        </w:rPr>
        <w:t xml:space="preserve">society services offered directly to a child under the age of 16 (Article 6(1)(f) of GDPR); (iii) The obligation </w:t>
      </w:r>
    </w:p>
    <w:p w14:paraId="6BB9E2B0" w14:textId="77777777" w:rsidR="00D6082C" w:rsidRDefault="00D6082C" w:rsidP="00955D19">
      <w:pPr>
        <w:pStyle w:val="FootnoteText"/>
        <w:ind w:left="360" w:hanging="360"/>
        <w:rPr>
          <w:rFonts w:ascii="Franklin Gothic Book" w:hAnsi="Franklin Gothic Book" w:cs="Times New Roman"/>
          <w:lang w:val="en-US" w:eastAsia="zh-CN"/>
        </w:rPr>
      </w:pPr>
      <w:r w:rsidRPr="00E13758">
        <w:rPr>
          <w:rFonts w:ascii="Franklin Gothic Book" w:hAnsi="Franklin Gothic Book" w:cs="Times New Roman"/>
          <w:lang w:val="en-US" w:eastAsia="zh-CN"/>
        </w:rPr>
        <w:t xml:space="preserve">on controllers to ensure that information provided to data subjects is concise, transparent and in plain </w:t>
      </w:r>
    </w:p>
    <w:p w14:paraId="553A6C47" w14:textId="77777777" w:rsidR="00D6082C" w:rsidRDefault="00D6082C" w:rsidP="00955D19">
      <w:pPr>
        <w:pStyle w:val="FootnoteText"/>
        <w:ind w:left="360" w:hanging="360"/>
        <w:rPr>
          <w:rFonts w:ascii="Franklin Gothic Book" w:hAnsi="Franklin Gothic Book" w:cs="Times New Roman"/>
          <w:lang w:val="en-US" w:eastAsia="zh-CN"/>
        </w:rPr>
      </w:pPr>
      <w:r w:rsidRPr="00E13758">
        <w:rPr>
          <w:rFonts w:ascii="Franklin Gothic Book" w:hAnsi="Franklin Gothic Book" w:cs="Times New Roman"/>
          <w:lang w:val="en-US" w:eastAsia="zh-CN"/>
        </w:rPr>
        <w:t>language is to be met “</w:t>
      </w:r>
      <w:r w:rsidRPr="00E13758">
        <w:rPr>
          <w:rFonts w:ascii="Franklin Gothic Book" w:hAnsi="Franklin Gothic Book" w:cs="Times New Roman"/>
          <w:i/>
          <w:iCs/>
          <w:lang w:val="en-US" w:eastAsia="zh-CN"/>
        </w:rPr>
        <w:t>in particular for any information addressed specifically to a child</w:t>
      </w:r>
      <w:r w:rsidRPr="00E13758">
        <w:rPr>
          <w:rFonts w:ascii="Franklin Gothic Book" w:hAnsi="Franklin Gothic Book" w:cs="Times New Roman"/>
          <w:lang w:val="en-US" w:eastAsia="zh-CN"/>
        </w:rPr>
        <w:t>” (</w:t>
      </w:r>
      <w:bookmarkStart w:id="36" w:name="_9kR3WTr26649CaKchzslHSer1G"/>
      <w:r w:rsidRPr="00E13758">
        <w:rPr>
          <w:rFonts w:ascii="Franklin Gothic Book" w:hAnsi="Franklin Gothic Book" w:cs="Times New Roman"/>
          <w:lang w:val="en-US" w:eastAsia="zh-CN"/>
        </w:rPr>
        <w:t xml:space="preserve">Recital 58 of </w:t>
      </w:r>
    </w:p>
    <w:p w14:paraId="3D58C0D3" w14:textId="77777777" w:rsidR="00D6082C" w:rsidRPr="00E13758" w:rsidRDefault="00D6082C" w:rsidP="00955D19">
      <w:pPr>
        <w:pStyle w:val="FootnoteText"/>
        <w:ind w:left="360" w:hanging="360"/>
        <w:rPr>
          <w:rFonts w:ascii="Franklin Gothic Book" w:hAnsi="Franklin Gothic Book" w:cs="Times New Roman"/>
          <w:lang w:val="en-US"/>
        </w:rPr>
      </w:pPr>
      <w:r w:rsidRPr="00E13758">
        <w:rPr>
          <w:rFonts w:ascii="Franklin Gothic Book" w:hAnsi="Franklin Gothic Book" w:cs="Times New Roman"/>
          <w:lang w:val="en-US" w:eastAsia="zh-CN"/>
        </w:rPr>
        <w:t>GDPR</w:t>
      </w:r>
      <w:bookmarkEnd w:id="36"/>
      <w:r w:rsidRPr="00E13758">
        <w:rPr>
          <w:rFonts w:ascii="Franklin Gothic Book" w:hAnsi="Franklin Gothic Book" w:cs="Times New Roman"/>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D66A" w14:textId="77777777" w:rsidR="00D6082C" w:rsidRDefault="00D6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2194" w14:textId="77777777" w:rsidR="00D6082C" w:rsidRDefault="00D6082C">
    <w:pPr>
      <w:pStyle w:val="Header"/>
    </w:pPr>
    <w:r>
      <w:rPr>
        <w:noProof/>
        <w:lang w:val="en-US"/>
      </w:rPr>
      <w:drawing>
        <wp:inline distT="0" distB="0" distL="0" distR="0" wp14:anchorId="60701860" wp14:editId="47640DD1">
          <wp:extent cx="2085975" cy="6438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UM_Logo_HighResolution.jpg"/>
                  <pic:cNvPicPr/>
                </pic:nvPicPr>
                <pic:blipFill>
                  <a:blip r:embed="rId1">
                    <a:extLst>
                      <a:ext uri="{28A0092B-C50C-407E-A947-70E740481C1C}">
                        <a14:useLocalDpi xmlns:a14="http://schemas.microsoft.com/office/drawing/2010/main" val="0"/>
                      </a:ext>
                    </a:extLst>
                  </a:blip>
                  <a:stretch>
                    <a:fillRect/>
                  </a:stretch>
                </pic:blipFill>
                <pic:spPr>
                  <a:xfrm>
                    <a:off x="0" y="0"/>
                    <a:ext cx="2101340" cy="648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6666B4"/>
    <w:multiLevelType w:val="hybridMultilevel"/>
    <w:tmpl w:val="04BAC9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0A4B02"/>
    <w:multiLevelType w:val="hybridMultilevel"/>
    <w:tmpl w:val="25678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3A8475"/>
    <w:multiLevelType w:val="hybridMultilevel"/>
    <w:tmpl w:val="935137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86D4BF"/>
    <w:multiLevelType w:val="hybridMultilevel"/>
    <w:tmpl w:val="895791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926F1"/>
    <w:multiLevelType w:val="hybridMultilevel"/>
    <w:tmpl w:val="8B8CF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10C168"/>
    <w:multiLevelType w:val="hybridMultilevel"/>
    <w:tmpl w:val="DF479A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A056B3"/>
    <w:multiLevelType w:val="hybridMultilevel"/>
    <w:tmpl w:val="8FC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82072"/>
    <w:multiLevelType w:val="hybridMultilevel"/>
    <w:tmpl w:val="3A4CC31E"/>
    <w:lvl w:ilvl="0" w:tplc="28103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974AC"/>
    <w:multiLevelType w:val="multilevel"/>
    <w:tmpl w:val="83EEE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04E24"/>
    <w:multiLevelType w:val="hybridMultilevel"/>
    <w:tmpl w:val="1946F37E"/>
    <w:lvl w:ilvl="0" w:tplc="46FC93A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74B09"/>
    <w:multiLevelType w:val="multilevel"/>
    <w:tmpl w:val="9FC6F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64762"/>
    <w:multiLevelType w:val="hybridMultilevel"/>
    <w:tmpl w:val="5936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83515"/>
    <w:multiLevelType w:val="multilevel"/>
    <w:tmpl w:val="32789870"/>
    <w:lvl w:ilvl="0">
      <w:start w:val="1"/>
      <w:numFmt w:val="lowerRoman"/>
      <w:pStyle w:val="Legal5L1"/>
      <w:lvlText w:val="(%1)"/>
      <w:lvlJc w:val="left"/>
      <w:pPr>
        <w:tabs>
          <w:tab w:val="num" w:pos="1428"/>
        </w:tabs>
        <w:ind w:left="1428" w:hanging="720"/>
      </w:pPr>
      <w:rPr>
        <w:rFonts w:ascii="Times New Roman" w:eastAsia="Times New Roman" w:hAnsi="Times New Roman" w:cs="Times New Roman"/>
        <w:b w:val="0"/>
        <w:bCs/>
        <w:i w:val="0"/>
        <w:caps w:val="0"/>
        <w:color w:val="auto"/>
        <w:u w:val="none"/>
      </w:rPr>
    </w:lvl>
    <w:lvl w:ilvl="1">
      <w:start w:val="1"/>
      <w:numFmt w:val="lowerLetter"/>
      <w:pStyle w:val="Legal5L2"/>
      <w:lvlText w:val="(%2)"/>
      <w:lvlJc w:val="left"/>
      <w:pPr>
        <w:tabs>
          <w:tab w:val="num" w:pos="2148"/>
        </w:tabs>
        <w:ind w:left="2148" w:hanging="720"/>
      </w:pPr>
      <w:rPr>
        <w:b w:val="0"/>
        <w:i w:val="0"/>
        <w:caps w:val="0"/>
        <w:color w:val="auto"/>
        <w:szCs w:val="24"/>
        <w:u w:val="none"/>
      </w:rPr>
    </w:lvl>
    <w:lvl w:ilvl="2">
      <w:start w:val="1"/>
      <w:numFmt w:val="lowerRoman"/>
      <w:pStyle w:val="Legal5L3"/>
      <w:lvlText w:val="(%3)"/>
      <w:lvlJc w:val="left"/>
      <w:pPr>
        <w:tabs>
          <w:tab w:val="num" w:pos="2868"/>
        </w:tabs>
        <w:ind w:left="2868" w:hanging="720"/>
      </w:pPr>
      <w:rPr>
        <w:b w:val="0"/>
        <w:i w:val="0"/>
        <w:caps w:val="0"/>
        <w:color w:val="auto"/>
        <w:u w:val="none"/>
      </w:rPr>
    </w:lvl>
    <w:lvl w:ilvl="3">
      <w:start w:val="1"/>
      <w:numFmt w:val="decimal"/>
      <w:pStyle w:val="Legal5L4"/>
      <w:lvlText w:val="(%4)"/>
      <w:lvlJc w:val="left"/>
      <w:pPr>
        <w:tabs>
          <w:tab w:val="num" w:pos="3588"/>
        </w:tabs>
        <w:ind w:left="3588" w:hanging="720"/>
      </w:pPr>
      <w:rPr>
        <w:b w:val="0"/>
        <w:i w:val="0"/>
        <w:caps w:val="0"/>
        <w:color w:val="auto"/>
        <w:u w:val="none"/>
      </w:rPr>
    </w:lvl>
    <w:lvl w:ilvl="4">
      <w:start w:val="1"/>
      <w:numFmt w:val="lowerRoman"/>
      <w:lvlText w:val="(%5)"/>
      <w:lvlJc w:val="left"/>
      <w:pPr>
        <w:tabs>
          <w:tab w:val="num" w:pos="3588"/>
        </w:tabs>
        <w:ind w:left="3588" w:hanging="720"/>
      </w:pPr>
      <w:rPr>
        <w:rFonts w:ascii="Times New Roman" w:hAnsi="Times New Roman" w:cs="Times New Roman"/>
        <w:b w:val="0"/>
        <w:i w:val="0"/>
        <w:caps w:val="0"/>
        <w:color w:val="auto"/>
        <w:sz w:val="24"/>
        <w:u w:val="none"/>
      </w:rPr>
    </w:lvl>
    <w:lvl w:ilvl="5">
      <w:start w:val="1"/>
      <w:numFmt w:val="upperLetter"/>
      <w:lvlText w:val="(%6)"/>
      <w:lvlJc w:val="left"/>
      <w:pPr>
        <w:tabs>
          <w:tab w:val="num" w:pos="4308"/>
        </w:tabs>
        <w:ind w:left="4308" w:hanging="720"/>
      </w:pPr>
      <w:rPr>
        <w:rFonts w:ascii="Times New Roman" w:hAnsi="Times New Roman" w:cs="Times New Roman"/>
        <w:b w:val="0"/>
        <w:i w:val="0"/>
        <w:caps w:val="0"/>
        <w:color w:val="auto"/>
        <w:sz w:val="24"/>
        <w:u w:val="none"/>
      </w:rPr>
    </w:lvl>
    <w:lvl w:ilvl="6">
      <w:start w:val="1"/>
      <w:numFmt w:val="upperLetter"/>
      <w:lvlText w:val="%7."/>
      <w:lvlJc w:val="left"/>
      <w:pPr>
        <w:tabs>
          <w:tab w:val="num" w:pos="5028"/>
        </w:tabs>
        <w:ind w:left="5028" w:hanging="720"/>
      </w:pPr>
      <w:rPr>
        <w:b w:val="0"/>
        <w:i w:val="0"/>
        <w:caps w:val="0"/>
        <w:color w:val="auto"/>
        <w:sz w:val="24"/>
        <w:u w:val="none"/>
      </w:r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3" w15:restartNumberingAfterBreak="0">
    <w:nsid w:val="28003FFA"/>
    <w:multiLevelType w:val="hybridMultilevel"/>
    <w:tmpl w:val="26947A30"/>
    <w:lvl w:ilvl="0" w:tplc="0BB8F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87BB3"/>
    <w:multiLevelType w:val="hybridMultilevel"/>
    <w:tmpl w:val="CF74116A"/>
    <w:lvl w:ilvl="0" w:tplc="8CBEDB9C">
      <w:numFmt w:val="bullet"/>
      <w:lvlText w:val="-"/>
      <w:lvlJc w:val="left"/>
      <w:pPr>
        <w:ind w:left="360" w:hanging="360"/>
      </w:pPr>
      <w:rPr>
        <w:rFonts w:ascii="Arial" w:eastAsia="Arial" w:hAnsi="Arial" w:cs="Arial"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2AD617BB"/>
    <w:multiLevelType w:val="hybridMultilevel"/>
    <w:tmpl w:val="3A4CC31E"/>
    <w:lvl w:ilvl="0" w:tplc="28103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A4A0F"/>
    <w:multiLevelType w:val="multilevel"/>
    <w:tmpl w:val="DF2C4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FF557A"/>
    <w:multiLevelType w:val="hybridMultilevel"/>
    <w:tmpl w:val="3A4CC31E"/>
    <w:lvl w:ilvl="0" w:tplc="28103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65846"/>
    <w:multiLevelType w:val="hybridMultilevel"/>
    <w:tmpl w:val="8032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D45E8"/>
    <w:multiLevelType w:val="hybridMultilevel"/>
    <w:tmpl w:val="C9F2D9BA"/>
    <w:lvl w:ilvl="0" w:tplc="0A96921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F1E3375"/>
    <w:multiLevelType w:val="hybridMultilevel"/>
    <w:tmpl w:val="9C36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90F26"/>
    <w:multiLevelType w:val="multilevel"/>
    <w:tmpl w:val="A22A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06208"/>
    <w:multiLevelType w:val="hybridMultilevel"/>
    <w:tmpl w:val="B3E04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3606B"/>
    <w:multiLevelType w:val="hybridMultilevel"/>
    <w:tmpl w:val="7618D3E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FF81B83"/>
    <w:multiLevelType w:val="hybridMultilevel"/>
    <w:tmpl w:val="61D0E7E6"/>
    <w:lvl w:ilvl="0" w:tplc="6DA851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460A0"/>
    <w:multiLevelType w:val="hybridMultilevel"/>
    <w:tmpl w:val="6850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7962D2"/>
    <w:multiLevelType w:val="hybridMultilevel"/>
    <w:tmpl w:val="9C4C89A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46D39"/>
    <w:multiLevelType w:val="hybridMultilevel"/>
    <w:tmpl w:val="DC58B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C0DD4"/>
    <w:multiLevelType w:val="hybridMultilevel"/>
    <w:tmpl w:val="51B4F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354EB9"/>
    <w:multiLevelType w:val="hybridMultilevel"/>
    <w:tmpl w:val="96A822FC"/>
    <w:lvl w:ilvl="0" w:tplc="9236BAC0">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405368"/>
    <w:multiLevelType w:val="multilevel"/>
    <w:tmpl w:val="FF48F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B1245"/>
    <w:multiLevelType w:val="hybridMultilevel"/>
    <w:tmpl w:val="534E2A6A"/>
    <w:lvl w:ilvl="0" w:tplc="AAE23370">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836CD"/>
    <w:multiLevelType w:val="hybridMultilevel"/>
    <w:tmpl w:val="CC76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9A700D"/>
    <w:multiLevelType w:val="hybridMultilevel"/>
    <w:tmpl w:val="28605460"/>
    <w:lvl w:ilvl="0" w:tplc="6A5CA20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05756"/>
    <w:multiLevelType w:val="hybridMultilevel"/>
    <w:tmpl w:val="B4582A08"/>
    <w:lvl w:ilvl="0" w:tplc="E664258E">
      <w:start w:val="1"/>
      <w:numFmt w:val="decimal"/>
      <w:pStyle w:val="Heading2"/>
      <w:lvlText w:val="%1."/>
      <w:lvlJc w:val="left"/>
      <w:pPr>
        <w:ind w:left="720" w:hanging="360"/>
      </w:pPr>
      <w:rPr>
        <w:b/>
      </w:rPr>
    </w:lvl>
    <w:lvl w:ilvl="1" w:tplc="DE9EED54">
      <w:numFmt w:val="bullet"/>
      <w:lvlText w:val=""/>
      <w:lvlJc w:val="left"/>
      <w:pPr>
        <w:ind w:left="1440" w:hanging="360"/>
      </w:pPr>
      <w:rPr>
        <w:rFonts w:ascii="Symbol" w:eastAsiaTheme="minorHAnsi" w:hAnsi="Symbol" w:cs="Franklin Gothic Book"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0278E"/>
    <w:multiLevelType w:val="multilevel"/>
    <w:tmpl w:val="37286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634349"/>
    <w:multiLevelType w:val="hybridMultilevel"/>
    <w:tmpl w:val="4282D8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3370D3"/>
    <w:multiLevelType w:val="hybridMultilevel"/>
    <w:tmpl w:val="B51C7216"/>
    <w:lvl w:ilvl="0" w:tplc="FBE072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BA6791"/>
    <w:multiLevelType w:val="hybridMultilevel"/>
    <w:tmpl w:val="C4B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94D8A"/>
    <w:multiLevelType w:val="hybridMultilevel"/>
    <w:tmpl w:val="69E870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E4711C"/>
    <w:multiLevelType w:val="hybridMultilevel"/>
    <w:tmpl w:val="1B8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38"/>
  </w:num>
  <w:num w:numId="4">
    <w:abstractNumId w:val="18"/>
  </w:num>
  <w:num w:numId="5">
    <w:abstractNumId w:val="19"/>
  </w:num>
  <w:num w:numId="6">
    <w:abstractNumId w:val="12"/>
  </w:num>
  <w:num w:numId="7">
    <w:abstractNumId w:val="17"/>
  </w:num>
  <w:num w:numId="8">
    <w:abstractNumId w:val="15"/>
  </w:num>
  <w:num w:numId="9">
    <w:abstractNumId w:val="31"/>
  </w:num>
  <w:num w:numId="10">
    <w:abstractNumId w:val="28"/>
  </w:num>
  <w:num w:numId="11">
    <w:abstractNumId w:val="25"/>
  </w:num>
  <w:num w:numId="12">
    <w:abstractNumId w:val="0"/>
  </w:num>
  <w:num w:numId="13">
    <w:abstractNumId w:val="29"/>
  </w:num>
  <w:num w:numId="14">
    <w:abstractNumId w:val="20"/>
  </w:num>
  <w:num w:numId="15">
    <w:abstractNumId w:val="37"/>
  </w:num>
  <w:num w:numId="16">
    <w:abstractNumId w:val="2"/>
  </w:num>
  <w:num w:numId="17">
    <w:abstractNumId w:val="5"/>
  </w:num>
  <w:num w:numId="18">
    <w:abstractNumId w:val="3"/>
  </w:num>
  <w:num w:numId="19">
    <w:abstractNumId w:val="1"/>
  </w:num>
  <w:num w:numId="20">
    <w:abstractNumId w:val="40"/>
  </w:num>
  <w:num w:numId="21">
    <w:abstractNumId w:val="11"/>
  </w:num>
  <w:num w:numId="22">
    <w:abstractNumId w:val="13"/>
  </w:num>
  <w:num w:numId="23">
    <w:abstractNumId w:val="24"/>
  </w:num>
  <w:num w:numId="24">
    <w:abstractNumId w:val="4"/>
  </w:num>
  <w:num w:numId="25">
    <w:abstractNumId w:val="32"/>
  </w:num>
  <w:num w:numId="26">
    <w:abstractNumId w:val="6"/>
  </w:num>
  <w:num w:numId="27">
    <w:abstractNumId w:val="27"/>
  </w:num>
  <w:num w:numId="28">
    <w:abstractNumId w:val="33"/>
  </w:num>
  <w:num w:numId="29">
    <w:abstractNumId w:val="34"/>
  </w:num>
  <w:num w:numId="30">
    <w:abstractNumId w:val="22"/>
  </w:num>
  <w:num w:numId="31">
    <w:abstractNumId w:val="9"/>
  </w:num>
  <w:num w:numId="32">
    <w:abstractNumId w:val="23"/>
  </w:num>
  <w:num w:numId="33">
    <w:abstractNumId w:val="14"/>
  </w:num>
  <w:num w:numId="34">
    <w:abstractNumId w:val="10"/>
  </w:num>
  <w:num w:numId="35">
    <w:abstractNumId w:val="35"/>
  </w:num>
  <w:num w:numId="36">
    <w:abstractNumId w:val="16"/>
  </w:num>
  <w:num w:numId="37">
    <w:abstractNumId w:val="8"/>
  </w:num>
  <w:num w:numId="38">
    <w:abstractNumId w:val="30"/>
  </w:num>
  <w:num w:numId="39">
    <w:abstractNumId w:val="21"/>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A8"/>
    <w:rsid w:val="00001461"/>
    <w:rsid w:val="00003A55"/>
    <w:rsid w:val="00004897"/>
    <w:rsid w:val="00004A07"/>
    <w:rsid w:val="00013F86"/>
    <w:rsid w:val="00020D25"/>
    <w:rsid w:val="000543A0"/>
    <w:rsid w:val="00057460"/>
    <w:rsid w:val="0005791A"/>
    <w:rsid w:val="00057A52"/>
    <w:rsid w:val="000715F6"/>
    <w:rsid w:val="00073ACD"/>
    <w:rsid w:val="00080FFE"/>
    <w:rsid w:val="0008548C"/>
    <w:rsid w:val="00091E6C"/>
    <w:rsid w:val="000A6833"/>
    <w:rsid w:val="000B14E8"/>
    <w:rsid w:val="000D371C"/>
    <w:rsid w:val="000E2975"/>
    <w:rsid w:val="001134CD"/>
    <w:rsid w:val="00121835"/>
    <w:rsid w:val="001653FC"/>
    <w:rsid w:val="00183537"/>
    <w:rsid w:val="001A5D1A"/>
    <w:rsid w:val="001B6E09"/>
    <w:rsid w:val="001D5027"/>
    <w:rsid w:val="001D6CDE"/>
    <w:rsid w:val="001F7E5B"/>
    <w:rsid w:val="00225995"/>
    <w:rsid w:val="00242B12"/>
    <w:rsid w:val="00246E15"/>
    <w:rsid w:val="002473DA"/>
    <w:rsid w:val="00250904"/>
    <w:rsid w:val="00255174"/>
    <w:rsid w:val="002656AC"/>
    <w:rsid w:val="002707C8"/>
    <w:rsid w:val="00277FEB"/>
    <w:rsid w:val="00291188"/>
    <w:rsid w:val="00295AEB"/>
    <w:rsid w:val="002A4DEB"/>
    <w:rsid w:val="002B5CBC"/>
    <w:rsid w:val="002C4015"/>
    <w:rsid w:val="002D0860"/>
    <w:rsid w:val="002F73A8"/>
    <w:rsid w:val="00303FE6"/>
    <w:rsid w:val="00306FE5"/>
    <w:rsid w:val="0032025C"/>
    <w:rsid w:val="00346875"/>
    <w:rsid w:val="00356B2B"/>
    <w:rsid w:val="003772BE"/>
    <w:rsid w:val="0038741E"/>
    <w:rsid w:val="0039110A"/>
    <w:rsid w:val="003A6161"/>
    <w:rsid w:val="003C17B6"/>
    <w:rsid w:val="003C6986"/>
    <w:rsid w:val="003D1681"/>
    <w:rsid w:val="003F62CB"/>
    <w:rsid w:val="00406A93"/>
    <w:rsid w:val="004218AA"/>
    <w:rsid w:val="0047436D"/>
    <w:rsid w:val="00476DB9"/>
    <w:rsid w:val="00477CE4"/>
    <w:rsid w:val="004A6125"/>
    <w:rsid w:val="004B27F9"/>
    <w:rsid w:val="004B7675"/>
    <w:rsid w:val="004C283E"/>
    <w:rsid w:val="004D5048"/>
    <w:rsid w:val="004E36E5"/>
    <w:rsid w:val="004F17FD"/>
    <w:rsid w:val="004F2155"/>
    <w:rsid w:val="00514666"/>
    <w:rsid w:val="00514B1E"/>
    <w:rsid w:val="00516F4F"/>
    <w:rsid w:val="00547D5B"/>
    <w:rsid w:val="00551842"/>
    <w:rsid w:val="00555200"/>
    <w:rsid w:val="00580967"/>
    <w:rsid w:val="00590C8A"/>
    <w:rsid w:val="005B5823"/>
    <w:rsid w:val="005E261C"/>
    <w:rsid w:val="005E7905"/>
    <w:rsid w:val="0060238E"/>
    <w:rsid w:val="0062316E"/>
    <w:rsid w:val="006252F7"/>
    <w:rsid w:val="006319A6"/>
    <w:rsid w:val="006417BE"/>
    <w:rsid w:val="00656158"/>
    <w:rsid w:val="006575D0"/>
    <w:rsid w:val="006637C7"/>
    <w:rsid w:val="00666277"/>
    <w:rsid w:val="00674564"/>
    <w:rsid w:val="0067645E"/>
    <w:rsid w:val="00695C49"/>
    <w:rsid w:val="006A50DD"/>
    <w:rsid w:val="006B42F7"/>
    <w:rsid w:val="006C201A"/>
    <w:rsid w:val="006D2D4D"/>
    <w:rsid w:val="006E6C9D"/>
    <w:rsid w:val="0070008E"/>
    <w:rsid w:val="007023A0"/>
    <w:rsid w:val="00703DB4"/>
    <w:rsid w:val="00714084"/>
    <w:rsid w:val="00714FD8"/>
    <w:rsid w:val="00727521"/>
    <w:rsid w:val="00752CC7"/>
    <w:rsid w:val="00772AA3"/>
    <w:rsid w:val="00774529"/>
    <w:rsid w:val="00777F44"/>
    <w:rsid w:val="00781A0D"/>
    <w:rsid w:val="00785E31"/>
    <w:rsid w:val="007D7D71"/>
    <w:rsid w:val="007F155D"/>
    <w:rsid w:val="007F1ED0"/>
    <w:rsid w:val="00823572"/>
    <w:rsid w:val="00830C40"/>
    <w:rsid w:val="00850479"/>
    <w:rsid w:val="0085603C"/>
    <w:rsid w:val="00866D82"/>
    <w:rsid w:val="008709DA"/>
    <w:rsid w:val="00875C02"/>
    <w:rsid w:val="008804B5"/>
    <w:rsid w:val="00890EAA"/>
    <w:rsid w:val="008A71E6"/>
    <w:rsid w:val="008D2F93"/>
    <w:rsid w:val="009223BD"/>
    <w:rsid w:val="0092606F"/>
    <w:rsid w:val="0093003E"/>
    <w:rsid w:val="00943B68"/>
    <w:rsid w:val="00947D51"/>
    <w:rsid w:val="00955D19"/>
    <w:rsid w:val="0099541C"/>
    <w:rsid w:val="009966B2"/>
    <w:rsid w:val="009B4C49"/>
    <w:rsid w:val="009B647A"/>
    <w:rsid w:val="009C3722"/>
    <w:rsid w:val="009D5E6E"/>
    <w:rsid w:val="009E4186"/>
    <w:rsid w:val="00A10F06"/>
    <w:rsid w:val="00A31619"/>
    <w:rsid w:val="00A32E98"/>
    <w:rsid w:val="00A4393D"/>
    <w:rsid w:val="00A52FA0"/>
    <w:rsid w:val="00A75BD9"/>
    <w:rsid w:val="00A9169C"/>
    <w:rsid w:val="00AB1495"/>
    <w:rsid w:val="00AC3E26"/>
    <w:rsid w:val="00AC50AE"/>
    <w:rsid w:val="00AD55C8"/>
    <w:rsid w:val="00AE00A2"/>
    <w:rsid w:val="00AE409A"/>
    <w:rsid w:val="00AF3D5A"/>
    <w:rsid w:val="00B03062"/>
    <w:rsid w:val="00B07DFB"/>
    <w:rsid w:val="00B11CFA"/>
    <w:rsid w:val="00B155F6"/>
    <w:rsid w:val="00B25A16"/>
    <w:rsid w:val="00B33CB6"/>
    <w:rsid w:val="00B424BE"/>
    <w:rsid w:val="00B4430F"/>
    <w:rsid w:val="00B53648"/>
    <w:rsid w:val="00B60A1A"/>
    <w:rsid w:val="00B629BE"/>
    <w:rsid w:val="00B762EB"/>
    <w:rsid w:val="00B85B23"/>
    <w:rsid w:val="00B97AA9"/>
    <w:rsid w:val="00BA329C"/>
    <w:rsid w:val="00BB0ADF"/>
    <w:rsid w:val="00BB18A8"/>
    <w:rsid w:val="00BC39E1"/>
    <w:rsid w:val="00BD0A78"/>
    <w:rsid w:val="00BD24A6"/>
    <w:rsid w:val="00BE0E55"/>
    <w:rsid w:val="00BF5694"/>
    <w:rsid w:val="00C04941"/>
    <w:rsid w:val="00C078F3"/>
    <w:rsid w:val="00C1261A"/>
    <w:rsid w:val="00C14287"/>
    <w:rsid w:val="00C15659"/>
    <w:rsid w:val="00C16B6C"/>
    <w:rsid w:val="00C2626B"/>
    <w:rsid w:val="00C46EB0"/>
    <w:rsid w:val="00C565DD"/>
    <w:rsid w:val="00C71C3C"/>
    <w:rsid w:val="00C8217F"/>
    <w:rsid w:val="00C95DBE"/>
    <w:rsid w:val="00D005F1"/>
    <w:rsid w:val="00D204B8"/>
    <w:rsid w:val="00D23FC8"/>
    <w:rsid w:val="00D24219"/>
    <w:rsid w:val="00D24B32"/>
    <w:rsid w:val="00D3491D"/>
    <w:rsid w:val="00D55A23"/>
    <w:rsid w:val="00D6082C"/>
    <w:rsid w:val="00D64DDF"/>
    <w:rsid w:val="00D77336"/>
    <w:rsid w:val="00D836C9"/>
    <w:rsid w:val="00DA5E43"/>
    <w:rsid w:val="00DC1DCC"/>
    <w:rsid w:val="00DD417E"/>
    <w:rsid w:val="00E014DB"/>
    <w:rsid w:val="00E073EB"/>
    <w:rsid w:val="00E07B89"/>
    <w:rsid w:val="00E13758"/>
    <w:rsid w:val="00E1607B"/>
    <w:rsid w:val="00E3079D"/>
    <w:rsid w:val="00E60CAD"/>
    <w:rsid w:val="00E61BF5"/>
    <w:rsid w:val="00E61ED1"/>
    <w:rsid w:val="00E66AC8"/>
    <w:rsid w:val="00E7274D"/>
    <w:rsid w:val="00E81EC1"/>
    <w:rsid w:val="00E82491"/>
    <w:rsid w:val="00E84ECD"/>
    <w:rsid w:val="00E951FD"/>
    <w:rsid w:val="00E97779"/>
    <w:rsid w:val="00EA39E4"/>
    <w:rsid w:val="00EB2233"/>
    <w:rsid w:val="00EB4453"/>
    <w:rsid w:val="00EB6B47"/>
    <w:rsid w:val="00EC3E9E"/>
    <w:rsid w:val="00ED0DB4"/>
    <w:rsid w:val="00ED182D"/>
    <w:rsid w:val="00EE01E9"/>
    <w:rsid w:val="00F1142D"/>
    <w:rsid w:val="00F20E96"/>
    <w:rsid w:val="00F23987"/>
    <w:rsid w:val="00F427DB"/>
    <w:rsid w:val="00F4324D"/>
    <w:rsid w:val="00F606F8"/>
    <w:rsid w:val="00F671C6"/>
    <w:rsid w:val="00F75505"/>
    <w:rsid w:val="00F821E3"/>
    <w:rsid w:val="00F97079"/>
    <w:rsid w:val="00FA55BD"/>
    <w:rsid w:val="00FC077F"/>
    <w:rsid w:val="00FC7995"/>
    <w:rsid w:val="00FD0693"/>
    <w:rsid w:val="00FE64E2"/>
    <w:rsid w:val="00FF13A5"/>
    <w:rsid w:val="00FF26E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7DF00"/>
  <w15:docId w15:val="{FC47A1B5-12E6-4C98-95F4-2C481A2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A78"/>
    <w:rPr>
      <w:lang w:val="en-GB"/>
    </w:rPr>
  </w:style>
  <w:style w:type="paragraph" w:styleId="Heading1">
    <w:name w:val="heading 1"/>
    <w:basedOn w:val="Normal"/>
    <w:next w:val="Normal"/>
    <w:link w:val="Heading1Char"/>
    <w:autoRedefine/>
    <w:uiPriority w:val="9"/>
    <w:qFormat/>
    <w:rsid w:val="00B424BE"/>
    <w:pPr>
      <w:keepNext/>
      <w:keepLines/>
      <w:numPr>
        <w:numId w:val="9"/>
      </w:numPr>
      <w:spacing w:before="240" w:after="0"/>
      <w:outlineLvl w:val="0"/>
    </w:pPr>
    <w:rPr>
      <w:rFonts w:ascii="Franklin Gothic Book" w:eastAsiaTheme="majorEastAsia" w:hAnsi="Franklin Gothic Book" w:cs="Times New Roman"/>
      <w:b/>
      <w:color w:val="2F5496" w:themeColor="accent1" w:themeShade="BF"/>
      <w:szCs w:val="32"/>
      <w:u w:val="single"/>
    </w:rPr>
  </w:style>
  <w:style w:type="paragraph" w:styleId="Heading2">
    <w:name w:val="heading 2"/>
    <w:basedOn w:val="Normal"/>
    <w:next w:val="Normal"/>
    <w:link w:val="Heading2Char"/>
    <w:autoRedefine/>
    <w:uiPriority w:val="9"/>
    <w:unhideWhenUsed/>
    <w:qFormat/>
    <w:rsid w:val="00B424BE"/>
    <w:pPr>
      <w:keepNext/>
      <w:keepLines/>
      <w:numPr>
        <w:numId w:val="29"/>
      </w:numPr>
      <w:spacing w:before="40" w:after="0"/>
      <w:outlineLvl w:val="1"/>
    </w:pPr>
    <w:rPr>
      <w:rFonts w:ascii="Franklin Gothic Book" w:eastAsiaTheme="majorEastAsia" w:hAnsi="Franklin Gothic Book" w:cs="Times New Roman"/>
      <w:b/>
      <w:color w:val="000000"/>
      <w:lang w:val="en-US"/>
    </w:rPr>
  </w:style>
  <w:style w:type="paragraph" w:styleId="Heading3">
    <w:name w:val="heading 3"/>
    <w:basedOn w:val="Normal"/>
    <w:next w:val="Normal"/>
    <w:link w:val="Heading3Char"/>
    <w:autoRedefine/>
    <w:uiPriority w:val="9"/>
    <w:unhideWhenUsed/>
    <w:qFormat/>
    <w:rsid w:val="00DD417E"/>
    <w:pPr>
      <w:keepNext/>
      <w:keepLines/>
      <w:numPr>
        <w:numId w:val="13"/>
      </w:numPr>
      <w:spacing w:before="40" w:after="0"/>
      <w:outlineLvl w:val="2"/>
    </w:pPr>
    <w:rPr>
      <w:rFonts w:ascii="Franklin Gothic Book" w:eastAsiaTheme="majorEastAsia" w:hAnsi="Franklin Gothic Book" w:cs="Times New Roman"/>
      <w:color w:val="1F3763" w:themeColor="accent1" w:themeShade="7F"/>
      <w:szCs w:val="24"/>
    </w:rPr>
  </w:style>
  <w:style w:type="paragraph" w:styleId="Heading4">
    <w:name w:val="heading 4"/>
    <w:basedOn w:val="Normal"/>
    <w:next w:val="Normal"/>
    <w:link w:val="Heading4Char"/>
    <w:autoRedefine/>
    <w:uiPriority w:val="9"/>
    <w:unhideWhenUsed/>
    <w:qFormat/>
    <w:rsid w:val="00666277"/>
    <w:pPr>
      <w:keepNext/>
      <w:keepLines/>
      <w:spacing w:before="40" w:after="240"/>
      <w:outlineLvl w:val="3"/>
    </w:pPr>
    <w:rPr>
      <w:rFonts w:ascii="Franklin Gothic Book" w:eastAsiaTheme="majorEastAsia" w:hAnsi="Franklin Gothic Book" w:cstheme="majorBidi"/>
      <w:b/>
      <w:i/>
      <w:iCs/>
      <w:color w:val="000000"/>
      <w:lang w:val="en-US"/>
    </w:rPr>
  </w:style>
  <w:style w:type="paragraph" w:styleId="Heading5">
    <w:name w:val="heading 5"/>
    <w:basedOn w:val="Normal"/>
    <w:next w:val="Normal"/>
    <w:link w:val="Heading5Char"/>
    <w:autoRedefine/>
    <w:uiPriority w:val="9"/>
    <w:unhideWhenUsed/>
    <w:qFormat/>
    <w:rsid w:val="00BC39E1"/>
    <w:pPr>
      <w:keepNext/>
      <w:keepLines/>
      <w:spacing w:before="40" w:after="0"/>
      <w:outlineLvl w:val="4"/>
    </w:pPr>
    <w:rPr>
      <w:rFonts w:asciiTheme="majorHAnsi" w:eastAsiaTheme="majorEastAsia" w:hAnsiTheme="majorHAnsi"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18A8"/>
    <w:rPr>
      <w:lang w:val="en-GB"/>
    </w:rPr>
  </w:style>
  <w:style w:type="paragraph" w:styleId="Footer">
    <w:name w:val="footer"/>
    <w:basedOn w:val="Normal"/>
    <w:link w:val="FooterChar"/>
    <w:uiPriority w:val="99"/>
    <w:unhideWhenUsed/>
    <w:rsid w:val="00BB18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18A8"/>
    <w:rPr>
      <w:lang w:val="en-GB"/>
    </w:rPr>
  </w:style>
  <w:style w:type="paragraph" w:styleId="ListParagraph">
    <w:name w:val="List Paragraph"/>
    <w:basedOn w:val="Normal"/>
    <w:uiPriority w:val="34"/>
    <w:qFormat/>
    <w:rsid w:val="00BB18A8"/>
    <w:pPr>
      <w:ind w:left="720"/>
      <w:contextualSpacing/>
    </w:pPr>
  </w:style>
  <w:style w:type="character" w:styleId="Hyperlink">
    <w:name w:val="Hyperlink"/>
    <w:basedOn w:val="DefaultParagraphFont"/>
    <w:uiPriority w:val="99"/>
    <w:unhideWhenUsed/>
    <w:rsid w:val="00242B12"/>
    <w:rPr>
      <w:color w:val="0563C1" w:themeColor="hyperlink"/>
      <w:u w:val="single"/>
    </w:rPr>
  </w:style>
  <w:style w:type="character" w:customStyle="1" w:styleId="UnresolvedMention1">
    <w:name w:val="Unresolved Mention1"/>
    <w:basedOn w:val="DefaultParagraphFont"/>
    <w:uiPriority w:val="99"/>
    <w:semiHidden/>
    <w:unhideWhenUsed/>
    <w:rsid w:val="00242B12"/>
    <w:rPr>
      <w:color w:val="808080"/>
      <w:shd w:val="clear" w:color="auto" w:fill="E6E6E6"/>
    </w:rPr>
  </w:style>
  <w:style w:type="character" w:styleId="CommentReference">
    <w:name w:val="annotation reference"/>
    <w:basedOn w:val="DefaultParagraphFont"/>
    <w:uiPriority w:val="99"/>
    <w:semiHidden/>
    <w:unhideWhenUsed/>
    <w:rsid w:val="00242B12"/>
    <w:rPr>
      <w:sz w:val="16"/>
      <w:szCs w:val="16"/>
    </w:rPr>
  </w:style>
  <w:style w:type="paragraph" w:styleId="CommentText">
    <w:name w:val="annotation text"/>
    <w:basedOn w:val="Normal"/>
    <w:link w:val="CommentTextChar"/>
    <w:uiPriority w:val="99"/>
    <w:semiHidden/>
    <w:unhideWhenUsed/>
    <w:rsid w:val="00242B12"/>
    <w:pPr>
      <w:spacing w:line="240" w:lineRule="auto"/>
    </w:pPr>
    <w:rPr>
      <w:sz w:val="20"/>
      <w:szCs w:val="20"/>
    </w:rPr>
  </w:style>
  <w:style w:type="character" w:customStyle="1" w:styleId="CommentTextChar">
    <w:name w:val="Comment Text Char"/>
    <w:basedOn w:val="DefaultParagraphFont"/>
    <w:link w:val="CommentText"/>
    <w:uiPriority w:val="99"/>
    <w:semiHidden/>
    <w:rsid w:val="00242B12"/>
    <w:rPr>
      <w:sz w:val="20"/>
      <w:szCs w:val="20"/>
      <w:lang w:val="en-GB"/>
    </w:rPr>
  </w:style>
  <w:style w:type="paragraph" w:styleId="CommentSubject">
    <w:name w:val="annotation subject"/>
    <w:basedOn w:val="CommentText"/>
    <w:next w:val="CommentText"/>
    <w:link w:val="CommentSubjectChar"/>
    <w:uiPriority w:val="99"/>
    <w:semiHidden/>
    <w:unhideWhenUsed/>
    <w:rsid w:val="00242B12"/>
    <w:rPr>
      <w:b/>
      <w:bCs/>
    </w:rPr>
  </w:style>
  <w:style w:type="character" w:customStyle="1" w:styleId="CommentSubjectChar">
    <w:name w:val="Comment Subject Char"/>
    <w:basedOn w:val="CommentTextChar"/>
    <w:link w:val="CommentSubject"/>
    <w:uiPriority w:val="99"/>
    <w:semiHidden/>
    <w:rsid w:val="00242B12"/>
    <w:rPr>
      <w:b/>
      <w:bCs/>
      <w:sz w:val="20"/>
      <w:szCs w:val="20"/>
      <w:lang w:val="en-GB"/>
    </w:rPr>
  </w:style>
  <w:style w:type="paragraph" w:styleId="BalloonText">
    <w:name w:val="Balloon Text"/>
    <w:basedOn w:val="Normal"/>
    <w:link w:val="BalloonTextChar"/>
    <w:uiPriority w:val="99"/>
    <w:semiHidden/>
    <w:unhideWhenUsed/>
    <w:rsid w:val="0024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12"/>
    <w:rPr>
      <w:rFonts w:ascii="Segoe UI" w:hAnsi="Segoe UI" w:cs="Segoe UI"/>
      <w:sz w:val="18"/>
      <w:szCs w:val="18"/>
      <w:lang w:val="en-GB"/>
    </w:rPr>
  </w:style>
  <w:style w:type="paragraph" w:styleId="FootnoteText">
    <w:name w:val="footnote text"/>
    <w:basedOn w:val="Normal"/>
    <w:link w:val="FootnoteTextChar"/>
    <w:uiPriority w:val="99"/>
    <w:unhideWhenUsed/>
    <w:rsid w:val="00C2626B"/>
    <w:pPr>
      <w:spacing w:after="0" w:line="240" w:lineRule="auto"/>
    </w:pPr>
    <w:rPr>
      <w:sz w:val="20"/>
      <w:szCs w:val="20"/>
    </w:rPr>
  </w:style>
  <w:style w:type="character" w:customStyle="1" w:styleId="FootnoteTextChar">
    <w:name w:val="Footnote Text Char"/>
    <w:basedOn w:val="DefaultParagraphFont"/>
    <w:link w:val="FootnoteText"/>
    <w:uiPriority w:val="99"/>
    <w:rsid w:val="00C2626B"/>
    <w:rPr>
      <w:sz w:val="20"/>
      <w:szCs w:val="20"/>
      <w:lang w:val="en-GB"/>
    </w:rPr>
  </w:style>
  <w:style w:type="character" w:styleId="FootnoteReference">
    <w:name w:val="footnote reference"/>
    <w:basedOn w:val="DefaultParagraphFont"/>
    <w:uiPriority w:val="99"/>
    <w:unhideWhenUsed/>
    <w:rsid w:val="00C2626B"/>
    <w:rPr>
      <w:vertAlign w:val="superscript"/>
    </w:rPr>
  </w:style>
  <w:style w:type="paragraph" w:styleId="NormalWeb">
    <w:name w:val="Normal (Web)"/>
    <w:basedOn w:val="Normal"/>
    <w:uiPriority w:val="99"/>
    <w:unhideWhenUsed/>
    <w:rsid w:val="00C262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626B"/>
    <w:rPr>
      <w:i/>
      <w:iCs/>
    </w:rPr>
  </w:style>
  <w:style w:type="paragraph" w:customStyle="1" w:styleId="Legal5L1">
    <w:name w:val="Legal5_L1"/>
    <w:basedOn w:val="Normal"/>
    <w:next w:val="Normal"/>
    <w:link w:val="Legal5L1Char"/>
    <w:rsid w:val="00346875"/>
    <w:pPr>
      <w:keepNext/>
      <w:numPr>
        <w:numId w:val="6"/>
      </w:numPr>
      <w:spacing w:after="240" w:line="264" w:lineRule="auto"/>
      <w:jc w:val="both"/>
      <w:outlineLvl w:val="0"/>
    </w:pPr>
    <w:rPr>
      <w:rFonts w:ascii="Times New Roman" w:eastAsia="Times New Roman" w:hAnsi="Times New Roman" w:cs="Times New Roman"/>
      <w:sz w:val="24"/>
      <w:szCs w:val="20"/>
    </w:rPr>
  </w:style>
  <w:style w:type="paragraph" w:customStyle="1" w:styleId="Legal5L2">
    <w:name w:val="Legal5_L2"/>
    <w:basedOn w:val="Legal5L1"/>
    <w:next w:val="Normal"/>
    <w:link w:val="Legal5L2Char"/>
    <w:rsid w:val="00346875"/>
    <w:pPr>
      <w:numPr>
        <w:ilvl w:val="1"/>
      </w:numPr>
      <w:outlineLvl w:val="1"/>
    </w:pPr>
  </w:style>
  <w:style w:type="character" w:customStyle="1" w:styleId="Legal5L2Char">
    <w:name w:val="Legal5_L2 Char"/>
    <w:basedOn w:val="DefaultParagraphFont"/>
    <w:link w:val="Legal5L2"/>
    <w:rsid w:val="00346875"/>
    <w:rPr>
      <w:rFonts w:ascii="Times New Roman" w:eastAsia="Times New Roman" w:hAnsi="Times New Roman" w:cs="Times New Roman"/>
      <w:sz w:val="24"/>
      <w:szCs w:val="20"/>
      <w:lang w:val="en-GB"/>
    </w:rPr>
  </w:style>
  <w:style w:type="paragraph" w:customStyle="1" w:styleId="Legal5L3">
    <w:name w:val="Legal5_L3"/>
    <w:basedOn w:val="Legal5L2"/>
    <w:next w:val="Normal"/>
    <w:link w:val="Legal5L3Char"/>
    <w:rsid w:val="00346875"/>
    <w:pPr>
      <w:numPr>
        <w:ilvl w:val="2"/>
      </w:numPr>
      <w:tabs>
        <w:tab w:val="num" w:pos="360"/>
      </w:tabs>
      <w:ind w:hanging="360"/>
      <w:outlineLvl w:val="2"/>
    </w:pPr>
  </w:style>
  <w:style w:type="paragraph" w:customStyle="1" w:styleId="Legal5L4">
    <w:name w:val="Legal5_L4"/>
    <w:basedOn w:val="Legal5L3"/>
    <w:next w:val="Normal"/>
    <w:rsid w:val="00346875"/>
    <w:pPr>
      <w:numPr>
        <w:ilvl w:val="3"/>
      </w:numPr>
      <w:tabs>
        <w:tab w:val="num" w:pos="360"/>
        <w:tab w:val="num" w:pos="2868"/>
      </w:tabs>
      <w:ind w:hanging="360"/>
      <w:outlineLvl w:val="3"/>
    </w:pPr>
  </w:style>
  <w:style w:type="character" w:customStyle="1" w:styleId="Legal5L1Char">
    <w:name w:val="Legal5_L1 Char"/>
    <w:basedOn w:val="DefaultParagraphFont"/>
    <w:link w:val="Legal5L1"/>
    <w:rsid w:val="00346875"/>
    <w:rPr>
      <w:rFonts w:ascii="Times New Roman" w:eastAsia="Times New Roman" w:hAnsi="Times New Roman" w:cs="Times New Roman"/>
      <w:sz w:val="24"/>
      <w:szCs w:val="20"/>
      <w:lang w:val="en-GB"/>
    </w:rPr>
  </w:style>
  <w:style w:type="paragraph" w:customStyle="1" w:styleId="Legal5Cont3">
    <w:name w:val="Legal5 Cont 3"/>
    <w:basedOn w:val="Normal"/>
    <w:link w:val="Legal5Cont3Char"/>
    <w:rsid w:val="00B03062"/>
    <w:pPr>
      <w:spacing w:after="240" w:line="264" w:lineRule="auto"/>
      <w:ind w:left="2160"/>
      <w:jc w:val="both"/>
    </w:pPr>
    <w:rPr>
      <w:rFonts w:ascii="Times New Roman" w:eastAsia="Times New Roman" w:hAnsi="Times New Roman" w:cs="Times New Roman"/>
      <w:sz w:val="24"/>
      <w:szCs w:val="20"/>
    </w:rPr>
  </w:style>
  <w:style w:type="character" w:customStyle="1" w:styleId="Legal5Cont3Char">
    <w:name w:val="Legal5 Cont 3 Char"/>
    <w:basedOn w:val="DefaultParagraphFont"/>
    <w:link w:val="Legal5Cont3"/>
    <w:rsid w:val="00B03062"/>
    <w:rPr>
      <w:rFonts w:ascii="Times New Roman" w:eastAsia="Times New Roman" w:hAnsi="Times New Roman" w:cs="Times New Roman"/>
      <w:sz w:val="24"/>
      <w:szCs w:val="20"/>
      <w:lang w:val="en-GB"/>
    </w:rPr>
  </w:style>
  <w:style w:type="character" w:customStyle="1" w:styleId="Legal5L3Char">
    <w:name w:val="Legal5_L3 Char"/>
    <w:basedOn w:val="DefaultParagraphFont"/>
    <w:link w:val="Legal5L3"/>
    <w:rsid w:val="00ED0DB4"/>
    <w:rPr>
      <w:rFonts w:ascii="Times New Roman" w:eastAsia="Times New Roman" w:hAnsi="Times New Roman" w:cs="Times New Roman"/>
      <w:sz w:val="24"/>
      <w:szCs w:val="20"/>
      <w:lang w:val="en-GB"/>
    </w:rPr>
  </w:style>
  <w:style w:type="paragraph" w:customStyle="1" w:styleId="Legal5Cont2">
    <w:name w:val="Legal5 Cont 2"/>
    <w:basedOn w:val="Normal"/>
    <w:link w:val="Legal5Cont2Char"/>
    <w:rsid w:val="00B53648"/>
    <w:pPr>
      <w:spacing w:after="240" w:line="264" w:lineRule="auto"/>
      <w:ind w:left="1440"/>
      <w:jc w:val="both"/>
    </w:pPr>
    <w:rPr>
      <w:rFonts w:ascii="Times New Roman" w:eastAsia="Times New Roman" w:hAnsi="Times New Roman" w:cs="Times New Roman"/>
      <w:sz w:val="24"/>
      <w:szCs w:val="20"/>
    </w:rPr>
  </w:style>
  <w:style w:type="character" w:customStyle="1" w:styleId="Legal5Cont2Char">
    <w:name w:val="Legal5 Cont 2 Char"/>
    <w:basedOn w:val="DefaultParagraphFont"/>
    <w:link w:val="Legal5Cont2"/>
    <w:rsid w:val="00B53648"/>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B424BE"/>
    <w:rPr>
      <w:rFonts w:ascii="Franklin Gothic Book" w:eastAsiaTheme="majorEastAsia" w:hAnsi="Franklin Gothic Book" w:cs="Times New Roman"/>
      <w:b/>
      <w:color w:val="2F5496" w:themeColor="accent1" w:themeShade="BF"/>
      <w:szCs w:val="32"/>
      <w:u w:val="single"/>
      <w:lang w:val="en-GB"/>
    </w:rPr>
  </w:style>
  <w:style w:type="character" w:styleId="UnresolvedMention">
    <w:name w:val="Unresolved Mention"/>
    <w:basedOn w:val="DefaultParagraphFont"/>
    <w:uiPriority w:val="99"/>
    <w:semiHidden/>
    <w:unhideWhenUsed/>
    <w:rsid w:val="00C078F3"/>
    <w:rPr>
      <w:color w:val="808080"/>
      <w:shd w:val="clear" w:color="auto" w:fill="E6E6E6"/>
    </w:rPr>
  </w:style>
  <w:style w:type="paragraph" w:customStyle="1" w:styleId="Default">
    <w:name w:val="Default"/>
    <w:rsid w:val="00772AA3"/>
    <w:pPr>
      <w:autoSpaceDE w:val="0"/>
      <w:autoSpaceDN w:val="0"/>
      <w:adjustRightInd w:val="0"/>
      <w:spacing w:after="0" w:line="240" w:lineRule="auto"/>
    </w:pPr>
    <w:rPr>
      <w:rFonts w:ascii="Franklin Gothic Book" w:hAnsi="Franklin Gothic Book" w:cs="Franklin Gothic Book"/>
      <w:color w:val="000000"/>
      <w:sz w:val="24"/>
      <w:szCs w:val="24"/>
      <w:lang w:val="en-GB"/>
    </w:rPr>
  </w:style>
  <w:style w:type="character" w:customStyle="1" w:styleId="Heading2Char">
    <w:name w:val="Heading 2 Char"/>
    <w:basedOn w:val="DefaultParagraphFont"/>
    <w:link w:val="Heading2"/>
    <w:uiPriority w:val="9"/>
    <w:rsid w:val="00B424BE"/>
    <w:rPr>
      <w:rFonts w:ascii="Franklin Gothic Book" w:eastAsiaTheme="majorEastAsia" w:hAnsi="Franklin Gothic Book" w:cs="Times New Roman"/>
      <w:b/>
      <w:color w:val="000000"/>
      <w:lang w:val="en-US"/>
    </w:rPr>
  </w:style>
  <w:style w:type="character" w:customStyle="1" w:styleId="Heading3Char">
    <w:name w:val="Heading 3 Char"/>
    <w:basedOn w:val="DefaultParagraphFont"/>
    <w:link w:val="Heading3"/>
    <w:uiPriority w:val="9"/>
    <w:rsid w:val="00DD417E"/>
    <w:rPr>
      <w:rFonts w:ascii="Franklin Gothic Book" w:eastAsiaTheme="majorEastAsia" w:hAnsi="Franklin Gothic Book" w:cs="Times New Roman"/>
      <w:color w:val="1F3763" w:themeColor="accent1" w:themeShade="7F"/>
      <w:szCs w:val="24"/>
      <w:lang w:val="en-GB"/>
    </w:rPr>
  </w:style>
  <w:style w:type="character" w:styleId="FollowedHyperlink">
    <w:name w:val="FollowedHyperlink"/>
    <w:basedOn w:val="DefaultParagraphFont"/>
    <w:uiPriority w:val="99"/>
    <w:semiHidden/>
    <w:unhideWhenUsed/>
    <w:rsid w:val="00AD55C8"/>
    <w:rPr>
      <w:color w:val="954F72" w:themeColor="followedHyperlink"/>
      <w:u w:val="single"/>
    </w:rPr>
  </w:style>
  <w:style w:type="paragraph" w:customStyle="1" w:styleId="Normal1">
    <w:name w:val="Normal1"/>
    <w:basedOn w:val="Normal"/>
    <w:rsid w:val="00702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66277"/>
    <w:rPr>
      <w:rFonts w:ascii="Franklin Gothic Book" w:eastAsiaTheme="majorEastAsia" w:hAnsi="Franklin Gothic Book" w:cstheme="majorBidi"/>
      <w:b/>
      <w:i/>
      <w:iCs/>
      <w:color w:val="000000"/>
      <w:lang w:val="en-US"/>
    </w:rPr>
  </w:style>
  <w:style w:type="character" w:customStyle="1" w:styleId="Heading5Char">
    <w:name w:val="Heading 5 Char"/>
    <w:basedOn w:val="DefaultParagraphFont"/>
    <w:link w:val="Heading5"/>
    <w:uiPriority w:val="9"/>
    <w:rsid w:val="00BC39E1"/>
    <w:rPr>
      <w:rFonts w:asciiTheme="majorHAnsi" w:eastAsiaTheme="majorEastAsia" w:hAnsiTheme="majorHAnsi" w:cstheme="majorBidi"/>
      <w:color w:val="000000" w:themeColor="text1"/>
      <w:u w:val="single"/>
      <w:lang w:val="en-GB"/>
    </w:rPr>
  </w:style>
  <w:style w:type="paragraph" w:styleId="TOC1">
    <w:name w:val="toc 1"/>
    <w:basedOn w:val="Normal"/>
    <w:next w:val="Normal"/>
    <w:autoRedefine/>
    <w:uiPriority w:val="39"/>
    <w:unhideWhenUsed/>
    <w:rsid w:val="00DD417E"/>
    <w:pPr>
      <w:spacing w:before="120" w:after="120"/>
    </w:pPr>
    <w:rPr>
      <w:b/>
      <w:bCs/>
      <w:caps/>
      <w:sz w:val="20"/>
      <w:szCs w:val="20"/>
    </w:rPr>
  </w:style>
  <w:style w:type="paragraph" w:styleId="TOC2">
    <w:name w:val="toc 2"/>
    <w:basedOn w:val="Normal"/>
    <w:next w:val="Normal"/>
    <w:autoRedefine/>
    <w:uiPriority w:val="39"/>
    <w:unhideWhenUsed/>
    <w:rsid w:val="00DD417E"/>
    <w:pPr>
      <w:spacing w:after="0"/>
      <w:ind w:left="220"/>
    </w:pPr>
    <w:rPr>
      <w:smallCaps/>
      <w:sz w:val="20"/>
      <w:szCs w:val="20"/>
    </w:rPr>
  </w:style>
  <w:style w:type="paragraph" w:styleId="TOC3">
    <w:name w:val="toc 3"/>
    <w:basedOn w:val="Normal"/>
    <w:next w:val="Normal"/>
    <w:autoRedefine/>
    <w:uiPriority w:val="39"/>
    <w:unhideWhenUsed/>
    <w:rsid w:val="00DD417E"/>
    <w:pPr>
      <w:spacing w:after="0"/>
      <w:ind w:left="440"/>
    </w:pPr>
    <w:rPr>
      <w:i/>
      <w:iCs/>
      <w:sz w:val="20"/>
      <w:szCs w:val="20"/>
    </w:rPr>
  </w:style>
  <w:style w:type="paragraph" w:styleId="TOC4">
    <w:name w:val="toc 4"/>
    <w:basedOn w:val="Normal"/>
    <w:next w:val="Normal"/>
    <w:autoRedefine/>
    <w:uiPriority w:val="39"/>
    <w:unhideWhenUsed/>
    <w:rsid w:val="00DD417E"/>
    <w:pPr>
      <w:spacing w:after="0"/>
      <w:ind w:left="660"/>
    </w:pPr>
    <w:rPr>
      <w:sz w:val="18"/>
      <w:szCs w:val="18"/>
    </w:rPr>
  </w:style>
  <w:style w:type="paragraph" w:styleId="TOC5">
    <w:name w:val="toc 5"/>
    <w:basedOn w:val="Normal"/>
    <w:next w:val="Normal"/>
    <w:autoRedefine/>
    <w:uiPriority w:val="39"/>
    <w:unhideWhenUsed/>
    <w:rsid w:val="00DD417E"/>
    <w:pPr>
      <w:spacing w:after="0"/>
      <w:ind w:left="880"/>
    </w:pPr>
    <w:rPr>
      <w:sz w:val="18"/>
      <w:szCs w:val="18"/>
    </w:rPr>
  </w:style>
  <w:style w:type="paragraph" w:styleId="TOC6">
    <w:name w:val="toc 6"/>
    <w:basedOn w:val="Normal"/>
    <w:next w:val="Normal"/>
    <w:autoRedefine/>
    <w:uiPriority w:val="39"/>
    <w:unhideWhenUsed/>
    <w:rsid w:val="00DD417E"/>
    <w:pPr>
      <w:spacing w:after="0"/>
      <w:ind w:left="1100"/>
    </w:pPr>
    <w:rPr>
      <w:sz w:val="18"/>
      <w:szCs w:val="18"/>
    </w:rPr>
  </w:style>
  <w:style w:type="paragraph" w:styleId="TOC7">
    <w:name w:val="toc 7"/>
    <w:basedOn w:val="Normal"/>
    <w:next w:val="Normal"/>
    <w:autoRedefine/>
    <w:uiPriority w:val="39"/>
    <w:unhideWhenUsed/>
    <w:rsid w:val="00DD417E"/>
    <w:pPr>
      <w:spacing w:after="0"/>
      <w:ind w:left="1320"/>
    </w:pPr>
    <w:rPr>
      <w:sz w:val="18"/>
      <w:szCs w:val="18"/>
    </w:rPr>
  </w:style>
  <w:style w:type="paragraph" w:styleId="TOC8">
    <w:name w:val="toc 8"/>
    <w:basedOn w:val="Normal"/>
    <w:next w:val="Normal"/>
    <w:autoRedefine/>
    <w:uiPriority w:val="39"/>
    <w:unhideWhenUsed/>
    <w:rsid w:val="00DD417E"/>
    <w:pPr>
      <w:spacing w:after="0"/>
      <w:ind w:left="1540"/>
    </w:pPr>
    <w:rPr>
      <w:sz w:val="18"/>
      <w:szCs w:val="18"/>
    </w:rPr>
  </w:style>
  <w:style w:type="paragraph" w:styleId="TOC9">
    <w:name w:val="toc 9"/>
    <w:basedOn w:val="Normal"/>
    <w:next w:val="Normal"/>
    <w:autoRedefine/>
    <w:uiPriority w:val="39"/>
    <w:unhideWhenUsed/>
    <w:rsid w:val="00DD417E"/>
    <w:pPr>
      <w:spacing w:after="0"/>
      <w:ind w:left="1760"/>
    </w:pPr>
    <w:rPr>
      <w:sz w:val="18"/>
      <w:szCs w:val="18"/>
    </w:rPr>
  </w:style>
  <w:style w:type="character" w:customStyle="1" w:styleId="dsgvo-title">
    <w:name w:val="dsgvo-title"/>
    <w:basedOn w:val="DefaultParagraphFont"/>
    <w:rsid w:val="00AE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2682">
      <w:bodyDiv w:val="1"/>
      <w:marLeft w:val="0"/>
      <w:marRight w:val="0"/>
      <w:marTop w:val="0"/>
      <w:marBottom w:val="0"/>
      <w:divBdr>
        <w:top w:val="none" w:sz="0" w:space="0" w:color="auto"/>
        <w:left w:val="none" w:sz="0" w:space="0" w:color="auto"/>
        <w:bottom w:val="none" w:sz="0" w:space="0" w:color="auto"/>
        <w:right w:val="none" w:sz="0" w:space="0" w:color="auto"/>
      </w:divBdr>
      <w:divsChild>
        <w:div w:id="1794638321">
          <w:marLeft w:val="0"/>
          <w:marRight w:val="0"/>
          <w:marTop w:val="0"/>
          <w:marBottom w:val="0"/>
          <w:divBdr>
            <w:top w:val="none" w:sz="0" w:space="0" w:color="auto"/>
            <w:left w:val="none" w:sz="0" w:space="0" w:color="auto"/>
            <w:bottom w:val="none" w:sz="0" w:space="0" w:color="auto"/>
            <w:right w:val="none" w:sz="0" w:space="0" w:color="auto"/>
          </w:divBdr>
        </w:div>
      </w:divsChild>
    </w:div>
    <w:div w:id="230964413">
      <w:bodyDiv w:val="1"/>
      <w:marLeft w:val="0"/>
      <w:marRight w:val="0"/>
      <w:marTop w:val="0"/>
      <w:marBottom w:val="0"/>
      <w:divBdr>
        <w:top w:val="none" w:sz="0" w:space="0" w:color="auto"/>
        <w:left w:val="none" w:sz="0" w:space="0" w:color="auto"/>
        <w:bottom w:val="none" w:sz="0" w:space="0" w:color="auto"/>
        <w:right w:val="none" w:sz="0" w:space="0" w:color="auto"/>
      </w:divBdr>
      <w:divsChild>
        <w:div w:id="549343295">
          <w:marLeft w:val="0"/>
          <w:marRight w:val="0"/>
          <w:marTop w:val="0"/>
          <w:marBottom w:val="0"/>
          <w:divBdr>
            <w:top w:val="none" w:sz="0" w:space="0" w:color="auto"/>
            <w:left w:val="none" w:sz="0" w:space="0" w:color="auto"/>
            <w:bottom w:val="none" w:sz="0" w:space="0" w:color="auto"/>
            <w:right w:val="none" w:sz="0" w:space="0" w:color="auto"/>
          </w:divBdr>
          <w:divsChild>
            <w:div w:id="1652709089">
              <w:marLeft w:val="0"/>
              <w:marRight w:val="0"/>
              <w:marTop w:val="0"/>
              <w:marBottom w:val="0"/>
              <w:divBdr>
                <w:top w:val="none" w:sz="0" w:space="0" w:color="auto"/>
                <w:left w:val="none" w:sz="0" w:space="0" w:color="auto"/>
                <w:bottom w:val="none" w:sz="0" w:space="0" w:color="auto"/>
                <w:right w:val="none" w:sz="0" w:space="0" w:color="auto"/>
              </w:divBdr>
              <w:divsChild>
                <w:div w:id="1404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01180">
      <w:bodyDiv w:val="1"/>
      <w:marLeft w:val="0"/>
      <w:marRight w:val="0"/>
      <w:marTop w:val="0"/>
      <w:marBottom w:val="0"/>
      <w:divBdr>
        <w:top w:val="none" w:sz="0" w:space="0" w:color="auto"/>
        <w:left w:val="none" w:sz="0" w:space="0" w:color="auto"/>
        <w:bottom w:val="none" w:sz="0" w:space="0" w:color="auto"/>
        <w:right w:val="none" w:sz="0" w:space="0" w:color="auto"/>
      </w:divBdr>
    </w:div>
    <w:div w:id="571934619">
      <w:bodyDiv w:val="1"/>
      <w:marLeft w:val="0"/>
      <w:marRight w:val="0"/>
      <w:marTop w:val="0"/>
      <w:marBottom w:val="0"/>
      <w:divBdr>
        <w:top w:val="none" w:sz="0" w:space="0" w:color="auto"/>
        <w:left w:val="none" w:sz="0" w:space="0" w:color="auto"/>
        <w:bottom w:val="none" w:sz="0" w:space="0" w:color="auto"/>
        <w:right w:val="none" w:sz="0" w:space="0" w:color="auto"/>
      </w:divBdr>
      <w:divsChild>
        <w:div w:id="760679419">
          <w:marLeft w:val="0"/>
          <w:marRight w:val="0"/>
          <w:marTop w:val="0"/>
          <w:marBottom w:val="0"/>
          <w:divBdr>
            <w:top w:val="none" w:sz="0" w:space="0" w:color="auto"/>
            <w:left w:val="none" w:sz="0" w:space="0" w:color="auto"/>
            <w:bottom w:val="none" w:sz="0" w:space="0" w:color="auto"/>
            <w:right w:val="none" w:sz="0" w:space="0" w:color="auto"/>
          </w:divBdr>
        </w:div>
      </w:divsChild>
    </w:div>
    <w:div w:id="794063792">
      <w:bodyDiv w:val="1"/>
      <w:marLeft w:val="0"/>
      <w:marRight w:val="0"/>
      <w:marTop w:val="0"/>
      <w:marBottom w:val="0"/>
      <w:divBdr>
        <w:top w:val="none" w:sz="0" w:space="0" w:color="auto"/>
        <w:left w:val="none" w:sz="0" w:space="0" w:color="auto"/>
        <w:bottom w:val="none" w:sz="0" w:space="0" w:color="auto"/>
        <w:right w:val="none" w:sz="0" w:space="0" w:color="auto"/>
      </w:divBdr>
      <w:divsChild>
        <w:div w:id="1337154904">
          <w:marLeft w:val="0"/>
          <w:marRight w:val="0"/>
          <w:marTop w:val="0"/>
          <w:marBottom w:val="0"/>
          <w:divBdr>
            <w:top w:val="none" w:sz="0" w:space="0" w:color="auto"/>
            <w:left w:val="none" w:sz="0" w:space="0" w:color="auto"/>
            <w:bottom w:val="none" w:sz="0" w:space="0" w:color="auto"/>
            <w:right w:val="none" w:sz="0" w:space="0" w:color="auto"/>
          </w:divBdr>
        </w:div>
      </w:divsChild>
    </w:div>
    <w:div w:id="1150100795">
      <w:bodyDiv w:val="1"/>
      <w:marLeft w:val="0"/>
      <w:marRight w:val="0"/>
      <w:marTop w:val="0"/>
      <w:marBottom w:val="0"/>
      <w:divBdr>
        <w:top w:val="none" w:sz="0" w:space="0" w:color="auto"/>
        <w:left w:val="none" w:sz="0" w:space="0" w:color="auto"/>
        <w:bottom w:val="none" w:sz="0" w:space="0" w:color="auto"/>
        <w:right w:val="none" w:sz="0" w:space="0" w:color="auto"/>
      </w:divBdr>
      <w:divsChild>
        <w:div w:id="989794407">
          <w:marLeft w:val="0"/>
          <w:marRight w:val="0"/>
          <w:marTop w:val="0"/>
          <w:marBottom w:val="0"/>
          <w:divBdr>
            <w:top w:val="none" w:sz="0" w:space="0" w:color="auto"/>
            <w:left w:val="none" w:sz="0" w:space="0" w:color="auto"/>
            <w:bottom w:val="none" w:sz="0" w:space="0" w:color="auto"/>
            <w:right w:val="none" w:sz="0" w:space="0" w:color="auto"/>
          </w:divBdr>
          <w:divsChild>
            <w:div w:id="47191637">
              <w:marLeft w:val="0"/>
              <w:marRight w:val="0"/>
              <w:marTop w:val="0"/>
              <w:marBottom w:val="0"/>
              <w:divBdr>
                <w:top w:val="none" w:sz="0" w:space="0" w:color="auto"/>
                <w:left w:val="none" w:sz="0" w:space="0" w:color="auto"/>
                <w:bottom w:val="none" w:sz="0" w:space="0" w:color="auto"/>
                <w:right w:val="none" w:sz="0" w:space="0" w:color="auto"/>
              </w:divBdr>
              <w:divsChild>
                <w:div w:id="1019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0280">
      <w:bodyDiv w:val="1"/>
      <w:marLeft w:val="0"/>
      <w:marRight w:val="0"/>
      <w:marTop w:val="0"/>
      <w:marBottom w:val="0"/>
      <w:divBdr>
        <w:top w:val="none" w:sz="0" w:space="0" w:color="auto"/>
        <w:left w:val="none" w:sz="0" w:space="0" w:color="auto"/>
        <w:bottom w:val="none" w:sz="0" w:space="0" w:color="auto"/>
        <w:right w:val="none" w:sz="0" w:space="0" w:color="auto"/>
      </w:divBdr>
      <w:divsChild>
        <w:div w:id="474027648">
          <w:marLeft w:val="0"/>
          <w:marRight w:val="0"/>
          <w:marTop w:val="0"/>
          <w:marBottom w:val="0"/>
          <w:divBdr>
            <w:top w:val="none" w:sz="0" w:space="0" w:color="auto"/>
            <w:left w:val="none" w:sz="0" w:space="0" w:color="auto"/>
            <w:bottom w:val="none" w:sz="0" w:space="0" w:color="auto"/>
            <w:right w:val="none" w:sz="0" w:space="0" w:color="auto"/>
          </w:divBdr>
        </w:div>
      </w:divsChild>
    </w:div>
    <w:div w:id="1343045689">
      <w:bodyDiv w:val="1"/>
      <w:marLeft w:val="0"/>
      <w:marRight w:val="0"/>
      <w:marTop w:val="0"/>
      <w:marBottom w:val="0"/>
      <w:divBdr>
        <w:top w:val="none" w:sz="0" w:space="0" w:color="auto"/>
        <w:left w:val="none" w:sz="0" w:space="0" w:color="auto"/>
        <w:bottom w:val="none" w:sz="0" w:space="0" w:color="auto"/>
        <w:right w:val="none" w:sz="0" w:space="0" w:color="auto"/>
      </w:divBdr>
    </w:div>
    <w:div w:id="1439523866">
      <w:bodyDiv w:val="1"/>
      <w:marLeft w:val="0"/>
      <w:marRight w:val="0"/>
      <w:marTop w:val="0"/>
      <w:marBottom w:val="0"/>
      <w:divBdr>
        <w:top w:val="none" w:sz="0" w:space="0" w:color="auto"/>
        <w:left w:val="none" w:sz="0" w:space="0" w:color="auto"/>
        <w:bottom w:val="none" w:sz="0" w:space="0" w:color="auto"/>
        <w:right w:val="none" w:sz="0" w:space="0" w:color="auto"/>
      </w:divBdr>
      <w:divsChild>
        <w:div w:id="1189871875">
          <w:marLeft w:val="0"/>
          <w:marRight w:val="0"/>
          <w:marTop w:val="0"/>
          <w:marBottom w:val="0"/>
          <w:divBdr>
            <w:top w:val="none" w:sz="0" w:space="0" w:color="auto"/>
            <w:left w:val="none" w:sz="0" w:space="0" w:color="auto"/>
            <w:bottom w:val="none" w:sz="0" w:space="0" w:color="auto"/>
            <w:right w:val="none" w:sz="0" w:space="0" w:color="auto"/>
          </w:divBdr>
        </w:div>
      </w:divsChild>
    </w:div>
    <w:div w:id="1677733968">
      <w:bodyDiv w:val="1"/>
      <w:marLeft w:val="0"/>
      <w:marRight w:val="0"/>
      <w:marTop w:val="0"/>
      <w:marBottom w:val="0"/>
      <w:divBdr>
        <w:top w:val="none" w:sz="0" w:space="0" w:color="auto"/>
        <w:left w:val="none" w:sz="0" w:space="0" w:color="auto"/>
        <w:bottom w:val="none" w:sz="0" w:space="0" w:color="auto"/>
        <w:right w:val="none" w:sz="0" w:space="0" w:color="auto"/>
      </w:divBdr>
      <w:divsChild>
        <w:div w:id="175585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na.smith@picum.org" TargetMode="External"/><Relationship Id="rId13" Type="http://schemas.openxmlformats.org/officeDocument/2006/relationships/hyperlink" Target="https://publications.parliament.uk/pa/cm201719/cmselect/cmhaff/500/500.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lii.org/ew/cases/EWHC/Admin/2019/45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justice.org.uk/sites/default/files/files/resources/hostile_environment_briefing_feb_2018_web.pdf" TargetMode="External"/><Relationship Id="rId5" Type="http://schemas.openxmlformats.org/officeDocument/2006/relationships/webSettings" Target="webSettings.xml"/><Relationship Id="rId15" Type="http://schemas.openxmlformats.org/officeDocument/2006/relationships/hyperlink" Target="https://www.libertyhumanrights.org.uk/sites/default/files/Liberty%20%27Care%20Don%27t%20Share%27%20Report%20280119%20RGB.pdf" TargetMode="External"/><Relationship Id="rId10" Type="http://schemas.openxmlformats.org/officeDocument/2006/relationships/hyperlink" Target="https://www.jcwi.org.uk/Handlers/Download.ashx?IDMF=5ab15f33-ae32-4e66-b040-402b71392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bertyhumanrights.org.uk/sites/default/files/HE%20web.pdf" TargetMode="External"/><Relationship Id="rId14" Type="http://schemas.openxmlformats.org/officeDocument/2006/relationships/hyperlink" Target="https://research.rla.org.uk/wp-content/uploads/right-to-rent-impact-private-renting-201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cm201719/cmselect/cmhaff/500/500.pdf" TargetMode="External"/><Relationship Id="rId13" Type="http://schemas.openxmlformats.org/officeDocument/2006/relationships/hyperlink" Target="http://www.politics.co.uk/news/2017/11/28/woman-reports-rape-to-police-and-is-arrested-on-immigration" TargetMode="External"/><Relationship Id="rId18" Type="http://schemas.openxmlformats.org/officeDocument/2006/relationships/hyperlink" Target="http://www.legislation.gov.uk/ukpga/2016/19/part/2/enacted" TargetMode="External"/><Relationship Id="rId3" Type="http://schemas.openxmlformats.org/officeDocument/2006/relationships/hyperlink" Target="https://edps.europa.eu/sites/edp/files/publication/17-06-01_necessity_toolkit_final_en_0.pdf" TargetMode="External"/><Relationship Id="rId7" Type="http://schemas.openxmlformats.org/officeDocument/2006/relationships/hyperlink" Target="https://edps.europa.eu/sites/edp/files/publication/17-06-01_necessity_toolkit_final_en_0.pdf" TargetMode="External"/><Relationship Id="rId12" Type="http://schemas.openxmlformats.org/officeDocument/2006/relationships/hyperlink" Target="https://www.bbc.co.uk/news/uk-44074572" TargetMode="External"/><Relationship Id="rId17" Type="http://schemas.openxmlformats.org/officeDocument/2006/relationships/hyperlink" Target="https://www.parliament.uk/business/committees/committees-a-z/commons-select/health-committee/inquiries/parliament-2017/mou-data-sharing-nhs-digital-home-office-inquiry-17-19/" TargetMode="External"/><Relationship Id="rId2" Type="http://schemas.openxmlformats.org/officeDocument/2006/relationships/hyperlink" Target="https://www.gov.uk/government/uploads/system/uploads/attachment_data/file/567652/ICIBI-hostile-environmentdriving-licences-and-bank-accounts-January-to-July-2016.pdf" TargetMode="External"/><Relationship Id="rId16" Type="http://schemas.openxmlformats.org/officeDocument/2006/relationships/hyperlink" Target="https://www.theguardian.com/uk-news/2017/jan/24/nhs-hands-over-patient-records-to-home-office-for-immigration-crackdown" TargetMode="External"/><Relationship Id="rId20" Type="http://schemas.openxmlformats.org/officeDocument/2006/relationships/hyperlink" Target="https://reliefweb.int/sites/reliefweb.int/files/resources/REC-16-2016-016-ENG.pdf" TargetMode="External"/><Relationship Id="rId1" Type="http://schemas.openxmlformats.org/officeDocument/2006/relationships/hyperlink" Target="http://www.europarl.europa.eu/sides/getDoc.do?type=AMD&amp;format=PDF&amp;reference=A8-0201/2018&amp;secondRef=047-047&amp;language=EN" TargetMode="External"/><Relationship Id="rId6" Type="http://schemas.openxmlformats.org/officeDocument/2006/relationships/hyperlink" Target="https://edps.europa.eu/sites/edp/files/publication/17-06-01_necessity_toolkit_final_en_0.pdf" TargetMode="External"/><Relationship Id="rId11" Type="http://schemas.openxmlformats.org/officeDocument/2006/relationships/hyperlink" Target="https://www.theguardian.com/uk-news/2016/dec/15/pupil-data-shared-with-home-office-to-identify-illegal-migrants" TargetMode="External"/><Relationship Id="rId5" Type="http://schemas.openxmlformats.org/officeDocument/2006/relationships/hyperlink" Target="https://www.theyworkforyou.com/lords/?id=2017-11-13b.1908.3" TargetMode="External"/><Relationship Id="rId15" Type="http://schemas.openxmlformats.org/officeDocument/2006/relationships/hyperlink" Target="https://www.theguardian.com/society/2018/may/09/government-to-stop-forcing-nhs-to-share-patients-data-with-home-office" TargetMode="External"/><Relationship Id="rId10" Type="http://schemas.openxmlformats.org/officeDocument/2006/relationships/hyperlink" Target="http://docstore.ohchr.org/SelfServices/FilesHandler.ashx?enc=4slQ6QSmlBEDzFEovLCuW1AVC1NkPsgUedPlF1vfPMJbFePxX56jVyNBwivepPdlEe4%2BUb4qsdJhuBDpCRSOwCXPjZ7VN7SXN0oRoXkZhCuB9Z73iyU35LZveUjX0d7u" TargetMode="External"/><Relationship Id="rId19" Type="http://schemas.openxmlformats.org/officeDocument/2006/relationships/hyperlink" Target="https://www.bailii.org/ew/cases/EWHC/Admin/2019/452.html" TargetMode="External"/><Relationship Id="rId4" Type="http://schemas.openxmlformats.org/officeDocument/2006/relationships/hyperlink" Target="https://www.theyworkforyou.com/lords/?id=2017-11-13b.1898.0" TargetMode="External"/><Relationship Id="rId9" Type="http://schemas.openxmlformats.org/officeDocument/2006/relationships/hyperlink" Target="https://www.theyworkforyou.com/debates/?id=2018-05-09a.771.1" TargetMode="External"/><Relationship Id="rId14" Type="http://schemas.openxmlformats.org/officeDocument/2006/relationships/hyperlink" Target="https://news.npcc.police.uk/releases/new-guidance-for-officers-on-sharing-information-with-immigration-enforc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F823-7892-44B6-A41E-A1F2A4F6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7555</Words>
  <Characters>43070</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Alyna Smith</dc:creator>
  <cp:keywords/>
  <dc:description/>
  <cp:lastModifiedBy>Alyna Smith</cp:lastModifiedBy>
  <cp:revision>2</cp:revision>
  <cp:lastPrinted>2019-05-24T12:18:00Z</cp:lastPrinted>
  <dcterms:created xsi:type="dcterms:W3CDTF">2019-06-06T11:56:00Z</dcterms:created>
  <dcterms:modified xsi:type="dcterms:W3CDTF">2019-06-06T11:56:00Z</dcterms:modified>
</cp:coreProperties>
</file>