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EBD64" w14:textId="77777777" w:rsidR="006517ED" w:rsidRDefault="006517ED" w:rsidP="006517ED">
      <w:pPr>
        <w:pStyle w:val="BodyA"/>
        <w:spacing w:line="276" w:lineRule="auto"/>
        <w:jc w:val="center"/>
        <w:rPr>
          <w:rFonts w:ascii="Times New Roman" w:eastAsia="Times New Roman" w:hAnsi="Times New Roman" w:cs="Times New Roman"/>
          <w:b/>
          <w:bCs/>
          <w:kern w:val="2"/>
          <w:lang w:val="en-GB"/>
        </w:rPr>
      </w:pPr>
      <w:r>
        <w:rPr>
          <w:rFonts w:ascii="Times New Roman" w:hAnsi="Times New Roman"/>
          <w:b/>
          <w:bCs/>
          <w:kern w:val="2"/>
          <w:lang w:val="en-GB"/>
        </w:rPr>
        <w:t>European Court of Human Rights</w:t>
      </w:r>
    </w:p>
    <w:p w14:paraId="64649D83" w14:textId="77777777" w:rsidR="006517ED" w:rsidRDefault="006517ED" w:rsidP="006517ED">
      <w:pPr>
        <w:pStyle w:val="BodyA"/>
        <w:spacing w:line="276" w:lineRule="auto"/>
        <w:jc w:val="center"/>
        <w:rPr>
          <w:rFonts w:ascii="Times New Roman" w:eastAsia="Times New Roman" w:hAnsi="Times New Roman" w:cs="Times New Roman"/>
          <w:b/>
          <w:bCs/>
          <w:kern w:val="2"/>
          <w:lang w:val="en-GB"/>
        </w:rPr>
      </w:pPr>
      <w:r>
        <w:rPr>
          <w:rFonts w:ascii="Times New Roman" w:hAnsi="Times New Roman"/>
          <w:b/>
          <w:bCs/>
          <w:i/>
          <w:iCs/>
          <w:kern w:val="2"/>
          <w:lang w:val="en-GB"/>
        </w:rPr>
        <w:t>GANBAROVA v. Azerbaijan</w:t>
      </w:r>
      <w:r>
        <w:rPr>
          <w:rFonts w:ascii="Times New Roman" w:hAnsi="Times New Roman"/>
          <w:b/>
          <w:bCs/>
          <w:kern w:val="2"/>
          <w:lang w:val="en-GB"/>
        </w:rPr>
        <w:t xml:space="preserve">, Application no. 45877/22 and 24 other applications </w:t>
      </w:r>
    </w:p>
    <w:p w14:paraId="02FB9D62" w14:textId="77777777" w:rsidR="006517ED" w:rsidRDefault="006517ED" w:rsidP="006517ED">
      <w:pPr>
        <w:pStyle w:val="BodyA"/>
        <w:spacing w:line="276" w:lineRule="auto"/>
        <w:jc w:val="center"/>
        <w:rPr>
          <w:rFonts w:ascii="Times New Roman" w:eastAsia="Times New Roman" w:hAnsi="Times New Roman" w:cs="Times New Roman"/>
          <w:b/>
          <w:bCs/>
          <w:kern w:val="2"/>
          <w:lang w:val="en-GB"/>
        </w:rPr>
      </w:pPr>
      <w:r>
        <w:rPr>
          <w:rFonts w:ascii="Times New Roman" w:hAnsi="Times New Roman"/>
          <w:b/>
          <w:bCs/>
          <w:kern w:val="2"/>
          <w:lang w:val="en-GB"/>
        </w:rPr>
        <w:t xml:space="preserve">&amp; </w:t>
      </w:r>
      <w:r>
        <w:rPr>
          <w:rFonts w:ascii="Times New Roman" w:hAnsi="Times New Roman"/>
          <w:b/>
          <w:bCs/>
          <w:i/>
          <w:iCs/>
          <w:kern w:val="2"/>
          <w:lang w:val="en-GB"/>
        </w:rPr>
        <w:t>Mustafayev and Others v. Azerbaijan,</w:t>
      </w:r>
      <w:r>
        <w:rPr>
          <w:rFonts w:ascii="Times New Roman" w:hAnsi="Times New Roman"/>
          <w:b/>
          <w:bCs/>
          <w:kern w:val="2"/>
          <w:lang w:val="en-GB"/>
        </w:rPr>
        <w:t xml:space="preserve"> Application no. 20096/24</w:t>
      </w:r>
    </w:p>
    <w:p w14:paraId="09D17692" w14:textId="77777777" w:rsidR="006517ED" w:rsidRDefault="006517ED" w:rsidP="006517ED">
      <w:pPr>
        <w:pStyle w:val="Default"/>
        <w:spacing w:before="0" w:line="240" w:lineRule="auto"/>
        <w:jc w:val="center"/>
        <w:rPr>
          <w:rFonts w:ascii="Times New Roman" w:eastAsia="Times New Roman" w:hAnsi="Times New Roman" w:cs="Times New Roman"/>
          <w:b/>
          <w:bCs/>
          <w:sz w:val="22"/>
          <w:szCs w:val="22"/>
          <w:lang w:val="en-GB"/>
        </w:rPr>
      </w:pPr>
      <w:r>
        <w:rPr>
          <w:rFonts w:ascii="Times New Roman" w:hAnsi="Times New Roman"/>
          <w:b/>
          <w:bCs/>
          <w:sz w:val="22"/>
          <w:szCs w:val="22"/>
          <w:lang w:val="en-GB"/>
        </w:rPr>
        <w:t>WRITTEN SUBMISSIONS OF PRIVACY INTERNATIONAL</w:t>
      </w:r>
    </w:p>
    <w:p w14:paraId="43BE7AD6" w14:textId="77777777" w:rsidR="006517ED" w:rsidRDefault="006517ED" w:rsidP="006517ED">
      <w:pPr>
        <w:pStyle w:val="Default"/>
        <w:spacing w:before="0" w:line="240" w:lineRule="auto"/>
        <w:jc w:val="center"/>
        <w:rPr>
          <w:rFonts w:ascii="Times New Roman" w:eastAsia="Times New Roman" w:hAnsi="Times New Roman" w:cs="Times New Roman"/>
          <w:sz w:val="22"/>
          <w:szCs w:val="22"/>
          <w:lang w:val="en-GB"/>
        </w:rPr>
      </w:pPr>
    </w:p>
    <w:p w14:paraId="7D7B2C43" w14:textId="77777777" w:rsidR="006517ED" w:rsidRDefault="006517ED" w:rsidP="006517ED">
      <w:pPr>
        <w:pStyle w:val="BodyB"/>
        <w:numPr>
          <w:ilvl w:val="0"/>
          <w:numId w:val="1"/>
        </w:numPr>
        <w:spacing w:after="160"/>
        <w:rPr>
          <w:b/>
          <w:bCs/>
          <w:sz w:val="22"/>
          <w:szCs w:val="22"/>
          <w:lang w:val="en-GB"/>
        </w:rPr>
      </w:pPr>
      <w:r>
        <w:rPr>
          <w:b/>
          <w:bCs/>
          <w:kern w:val="2"/>
          <w:sz w:val="22"/>
          <w:szCs w:val="22"/>
          <w:lang w:val="en-GB"/>
        </w:rPr>
        <w:t xml:space="preserve">Introduction </w:t>
      </w:r>
    </w:p>
    <w:p w14:paraId="795DF0A9" w14:textId="77777777" w:rsidR="006517ED" w:rsidRDefault="006517ED" w:rsidP="006517ED">
      <w:pPr>
        <w:pStyle w:val="BodyB"/>
        <w:numPr>
          <w:ilvl w:val="0"/>
          <w:numId w:val="2"/>
        </w:numPr>
        <w:spacing w:after="160"/>
        <w:rPr>
          <w:sz w:val="22"/>
          <w:szCs w:val="22"/>
          <w:lang w:val="en-GB"/>
        </w:rPr>
      </w:pPr>
      <w:r>
        <w:rPr>
          <w:kern w:val="2"/>
          <w:sz w:val="22"/>
          <w:szCs w:val="22"/>
          <w:lang w:val="en-GB"/>
        </w:rPr>
        <w:t xml:space="preserve">Privacy International (PI, the “Intervener”) makes this submission pursuant to leave granted by the President of the Section in accordance with Rule 44(3) of the Rules of the Court. PI is a non-profit, non-governmental organisation (Charity Number:1147471) that researches and advocates against government and corporate abuses of data and technology. </w:t>
      </w:r>
    </w:p>
    <w:p w14:paraId="23E67A02" w14:textId="77777777" w:rsidR="006517ED" w:rsidRDefault="006517ED" w:rsidP="006517ED">
      <w:pPr>
        <w:pStyle w:val="BodyB"/>
        <w:numPr>
          <w:ilvl w:val="0"/>
          <w:numId w:val="2"/>
        </w:numPr>
        <w:spacing w:after="160"/>
        <w:rPr>
          <w:sz w:val="22"/>
          <w:szCs w:val="22"/>
          <w:lang w:val="en-GB"/>
        </w:rPr>
      </w:pPr>
      <w:r>
        <w:rPr>
          <w:kern w:val="2"/>
          <w:sz w:val="22"/>
          <w:szCs w:val="22"/>
          <w:lang w:val="en-GB"/>
        </w:rPr>
        <w:t xml:space="preserve">The present cases, </w:t>
      </w:r>
      <w:r>
        <w:rPr>
          <w:i/>
          <w:iCs/>
          <w:kern w:val="2"/>
          <w:sz w:val="22"/>
          <w:szCs w:val="22"/>
          <w:lang w:val="en-GB"/>
        </w:rPr>
        <w:t>Aynur GANBAROVA against Azerbaijan and 24 other applications</w:t>
      </w:r>
      <w:r>
        <w:rPr>
          <w:kern w:val="2"/>
          <w:sz w:val="22"/>
          <w:szCs w:val="22"/>
          <w:lang w:val="en-GB"/>
        </w:rPr>
        <w:t xml:space="preserve">, and </w:t>
      </w:r>
      <w:r>
        <w:rPr>
          <w:i/>
          <w:iCs/>
          <w:kern w:val="2"/>
          <w:sz w:val="22"/>
          <w:szCs w:val="22"/>
          <w:lang w:val="en-GB"/>
        </w:rPr>
        <w:t>Mustafayev and Others v. Azerbaijan</w:t>
      </w:r>
      <w:r>
        <w:rPr>
          <w:kern w:val="2"/>
          <w:sz w:val="22"/>
          <w:szCs w:val="22"/>
          <w:lang w:val="en-GB"/>
        </w:rPr>
        <w:t xml:space="preserve"> concern alleged surveillance of the applicants using Pegasus spyware. As such, they raise questions of utmost public interest surrounding the compatibility of the deployment of spyware with human rights standards and present the Court with an opportunity to begin to create a legal framework to address the novel and grave harms presented by commercial spyware. </w:t>
      </w:r>
    </w:p>
    <w:p w14:paraId="5BE366E2" w14:textId="77777777" w:rsidR="006517ED" w:rsidRDefault="006517ED" w:rsidP="006517ED">
      <w:pPr>
        <w:pStyle w:val="BodyB"/>
        <w:numPr>
          <w:ilvl w:val="0"/>
          <w:numId w:val="2"/>
        </w:numPr>
        <w:spacing w:after="160"/>
        <w:rPr>
          <w:sz w:val="22"/>
          <w:szCs w:val="22"/>
          <w:lang w:val="en-GB"/>
        </w:rPr>
      </w:pPr>
      <w:r>
        <w:rPr>
          <w:kern w:val="2"/>
          <w:sz w:val="22"/>
          <w:szCs w:val="22"/>
          <w:lang w:val="en-GB"/>
        </w:rPr>
        <w:t xml:space="preserve">This submission aims to assist the Court in its assessment of the compatibility of Pegasus spyware with Articles 8 and 17 of the Convention. It is structured in three parts: first, it discusses the nature of spyware as a form of surveillance and its implications for the right to respect for private life and correspondence; second, it considers whether the use of spyware can be considered compatible with Article 8 of the Convention, including whether its use should be regarded as incompatible with the essence of the right to privacy; and third, it invites the Court to consider that systematic use of commercial spyware by a state destroys the Article 8 right to private life, thus constituting a violation of Article 17. </w:t>
      </w:r>
    </w:p>
    <w:p w14:paraId="3DEEC2DE" w14:textId="77777777" w:rsidR="006517ED" w:rsidRDefault="006517ED" w:rsidP="006517ED">
      <w:pPr>
        <w:pStyle w:val="BodyB"/>
        <w:numPr>
          <w:ilvl w:val="0"/>
          <w:numId w:val="3"/>
        </w:numPr>
        <w:spacing w:after="160"/>
        <w:rPr>
          <w:b/>
          <w:bCs/>
          <w:sz w:val="22"/>
          <w:szCs w:val="22"/>
          <w:lang w:val="en-GB"/>
        </w:rPr>
      </w:pPr>
      <w:r>
        <w:rPr>
          <w:b/>
          <w:bCs/>
          <w:kern w:val="2"/>
          <w:sz w:val="22"/>
          <w:szCs w:val="22"/>
          <w:lang w:val="en-GB"/>
        </w:rPr>
        <w:t xml:space="preserve">Spyware as a form of state surveillance and its implications for the rights guaranteed under Article 8 of the Convention </w:t>
      </w:r>
    </w:p>
    <w:p w14:paraId="0BB6A587" w14:textId="77777777" w:rsidR="006517ED" w:rsidRDefault="006517ED" w:rsidP="006517ED">
      <w:pPr>
        <w:pStyle w:val="BodyB"/>
        <w:numPr>
          <w:ilvl w:val="0"/>
          <w:numId w:val="4"/>
        </w:numPr>
        <w:spacing w:after="160"/>
        <w:rPr>
          <w:sz w:val="22"/>
          <w:szCs w:val="22"/>
          <w:lang w:val="en-GB"/>
        </w:rPr>
      </w:pPr>
      <w:r>
        <w:rPr>
          <w:kern w:val="2"/>
          <w:sz w:val="22"/>
          <w:szCs w:val="22"/>
          <w:lang w:val="en-GB"/>
        </w:rPr>
        <w:t>Spyware is a form of extremely intrusive surveillance that permits governments to remotely and surreptitiously access personal devices, including all information and data they store, such as phone calls, text messages, and emails, regardless if the information is encrypted.</w:t>
      </w:r>
      <w:r>
        <w:rPr>
          <w:kern w:val="2"/>
          <w:sz w:val="22"/>
          <w:szCs w:val="22"/>
          <w:vertAlign w:val="superscript"/>
          <w:lang w:val="en-GB"/>
        </w:rPr>
        <w:footnoteReference w:id="1"/>
      </w:r>
      <w:r>
        <w:rPr>
          <w:rStyle w:val="None"/>
          <w:kern w:val="2"/>
          <w:sz w:val="22"/>
          <w:szCs w:val="22"/>
          <w:lang w:val="en-GB"/>
        </w:rPr>
        <w:t xml:space="preserve"> Some spyware products allow for real-time surveillance by covertly turning on a device’s camera, microphone, or GPS, and by recording keystrokes and capturing screenshots.</w:t>
      </w:r>
      <w:r>
        <w:rPr>
          <w:rStyle w:val="None"/>
          <w:kern w:val="2"/>
          <w:sz w:val="22"/>
          <w:szCs w:val="22"/>
          <w:vertAlign w:val="superscript"/>
          <w:lang w:val="en-GB"/>
        </w:rPr>
        <w:footnoteReference w:id="2"/>
      </w:r>
      <w:r>
        <w:rPr>
          <w:rStyle w:val="None"/>
          <w:kern w:val="2"/>
          <w:sz w:val="22"/>
          <w:szCs w:val="22"/>
          <w:lang w:val="en-GB"/>
        </w:rPr>
        <w:t xml:space="preserve"> Additionally, spyware allows third parties to delete, corrupt, or plant data; recover data that has been deleted; and edit code to change the device’s technical capabilities.</w:t>
      </w:r>
      <w:r>
        <w:rPr>
          <w:rStyle w:val="None"/>
          <w:kern w:val="2"/>
          <w:sz w:val="22"/>
          <w:szCs w:val="22"/>
          <w:vertAlign w:val="superscript"/>
          <w:lang w:val="en-GB"/>
        </w:rPr>
        <w:footnoteReference w:id="3"/>
      </w:r>
      <w:r>
        <w:rPr>
          <w:rStyle w:val="None"/>
          <w:kern w:val="2"/>
          <w:sz w:val="22"/>
          <w:szCs w:val="22"/>
          <w:lang w:val="en-GB"/>
        </w:rPr>
        <w:t xml:space="preserve"> Despite this heightened level of access, spyware are difficult to identify once deployed - often requiring expert forensic analysis. As such, affected device-owners are often left unaware.</w:t>
      </w:r>
      <w:r>
        <w:rPr>
          <w:rStyle w:val="None"/>
          <w:kern w:val="2"/>
          <w:sz w:val="22"/>
          <w:szCs w:val="22"/>
          <w:vertAlign w:val="superscript"/>
          <w:lang w:val="en-GB"/>
        </w:rPr>
        <w:footnoteReference w:id="4"/>
      </w:r>
    </w:p>
    <w:p w14:paraId="78F8EE93"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Today, personal devices contain vast amounts of sensitive data, from photo albums and email exchanges to phone numbers, health records, financial information, precise location data and records of thoughts and opinions not meant to be shared. They store credit card details, banking passwords, passport and driver’s license data, biometric data, virtual keys, and much more. </w:t>
      </w:r>
    </w:p>
    <w:p w14:paraId="00E588FF" w14:textId="73B08398" w:rsidR="006517ED" w:rsidRDefault="006517ED" w:rsidP="006517ED">
      <w:pPr>
        <w:pStyle w:val="BodyB"/>
        <w:numPr>
          <w:ilvl w:val="0"/>
          <w:numId w:val="2"/>
        </w:numPr>
        <w:spacing w:after="160"/>
        <w:rPr>
          <w:sz w:val="22"/>
          <w:szCs w:val="22"/>
          <w:lang w:val="en-GB"/>
        </w:rPr>
      </w:pPr>
      <w:r>
        <w:rPr>
          <w:rStyle w:val="None"/>
          <w:kern w:val="2"/>
          <w:sz w:val="22"/>
          <w:szCs w:val="22"/>
          <w:lang w:val="en-GB"/>
        </w:rPr>
        <w:lastRenderedPageBreak/>
        <w:t xml:space="preserve">Spyware is a far more intrusive form of surveillance than conventional, targeted techniques, for four reasons. First, spyware </w:t>
      </w:r>
      <w:r>
        <w:rPr>
          <w:rStyle w:val="None"/>
          <w:i/>
          <w:iCs/>
          <w:kern w:val="2"/>
          <w:sz w:val="22"/>
          <w:szCs w:val="22"/>
          <w:lang w:val="en-GB"/>
        </w:rPr>
        <w:t xml:space="preserve">cannot </w:t>
      </w:r>
      <w:r>
        <w:rPr>
          <w:rStyle w:val="None"/>
          <w:kern w:val="2"/>
          <w:sz w:val="22"/>
          <w:szCs w:val="22"/>
          <w:lang w:val="en-GB"/>
        </w:rPr>
        <w:t>be limited to certain functionalities - as soon as a device is infected, the third-party will have remote control of, and total access to the contents of the device, including access to the contents of encrypted applications users falsely think are secure, such as Signal.</w:t>
      </w:r>
      <w:r>
        <w:rPr>
          <w:rStyle w:val="None"/>
          <w:kern w:val="2"/>
          <w:sz w:val="22"/>
          <w:szCs w:val="22"/>
          <w:vertAlign w:val="superscript"/>
          <w:lang w:val="en-GB"/>
        </w:rPr>
        <w:footnoteReference w:id="5"/>
      </w:r>
      <w:r>
        <w:rPr>
          <w:rStyle w:val="None"/>
          <w:kern w:val="2"/>
          <w:sz w:val="22"/>
          <w:szCs w:val="22"/>
          <w:lang w:val="en-GB"/>
        </w:rPr>
        <w:t xml:space="preserve"> Second, unlike, for example, the physical seizure of a mobile phone by authorities, spyware infected device-owners often do not know when their devices have been compromised, thus limiting their ability to seek redress.</w:t>
      </w:r>
      <w:r>
        <w:rPr>
          <w:rStyle w:val="None"/>
          <w:kern w:val="2"/>
          <w:sz w:val="22"/>
          <w:szCs w:val="22"/>
          <w:vertAlign w:val="superscript"/>
          <w:lang w:val="en-GB"/>
        </w:rPr>
        <w:footnoteReference w:id="6"/>
      </w:r>
      <w:r>
        <w:rPr>
          <w:rStyle w:val="None"/>
          <w:kern w:val="2"/>
          <w:sz w:val="22"/>
          <w:szCs w:val="22"/>
          <w:lang w:val="en-GB"/>
        </w:rPr>
        <w:t xml:space="preserve"> Third, spyware offers states a form of live, 24/7 surveillance, and the ability to spy on people during their most intimate moments, all without expending human capital. And fourth, spyware is a form of ‘hacking’ or computer network exploitation - it is only able to gain its unfettered access to mobile devices by relying on vulnerabilities in device software - identifying and exploiting these vulnerabilities makes the use of mobile devices and communication networks more dangerous for the general public.</w:t>
      </w:r>
      <w:r>
        <w:rPr>
          <w:rStyle w:val="None"/>
          <w:kern w:val="2"/>
          <w:sz w:val="22"/>
          <w:szCs w:val="22"/>
          <w:vertAlign w:val="superscript"/>
          <w:lang w:val="en-GB"/>
        </w:rPr>
        <w:footnoteReference w:id="7"/>
      </w:r>
      <w:r>
        <w:rPr>
          <w:rStyle w:val="None"/>
          <w:kern w:val="2"/>
          <w:sz w:val="22"/>
          <w:szCs w:val="22"/>
          <w:lang w:val="en-GB"/>
        </w:rPr>
        <w:t xml:space="preserve">  In other words, even if a</w:t>
      </w:r>
      <w:r w:rsidR="00635A77">
        <w:rPr>
          <w:rStyle w:val="None"/>
          <w:kern w:val="2"/>
          <w:sz w:val="22"/>
          <w:szCs w:val="22"/>
          <w:lang w:val="en-GB"/>
        </w:rPr>
        <w:t xml:space="preserve">uthorities </w:t>
      </w:r>
      <w:r>
        <w:rPr>
          <w:rStyle w:val="None"/>
          <w:kern w:val="2"/>
          <w:sz w:val="22"/>
          <w:szCs w:val="22"/>
          <w:lang w:val="en-GB"/>
        </w:rPr>
        <w:t>sought to deploy spyware, such as NSO Pegasus, to obtain only limited information relevant to an investigation, the very nature of the software would not allow them to do so.</w:t>
      </w:r>
      <w:r>
        <w:rPr>
          <w:rStyle w:val="None"/>
          <w:kern w:val="2"/>
          <w:sz w:val="22"/>
          <w:szCs w:val="22"/>
          <w:vertAlign w:val="superscript"/>
          <w:lang w:val="en-GB"/>
        </w:rPr>
        <w:footnoteReference w:id="8"/>
      </w:r>
    </w:p>
    <w:p w14:paraId="00C56167"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The Court has repeatedly held that “private life” is not subject to an exhaustive definition.</w:t>
      </w:r>
      <w:r>
        <w:rPr>
          <w:rStyle w:val="None"/>
          <w:kern w:val="2"/>
          <w:sz w:val="22"/>
          <w:szCs w:val="22"/>
          <w:vertAlign w:val="superscript"/>
          <w:lang w:val="en-GB"/>
        </w:rPr>
        <w:footnoteReference w:id="9"/>
      </w:r>
      <w:r>
        <w:rPr>
          <w:rStyle w:val="None"/>
          <w:kern w:val="2"/>
          <w:sz w:val="22"/>
          <w:szCs w:val="22"/>
          <w:lang w:val="en-GB"/>
        </w:rPr>
        <w:t xml:space="preserve"> Instead, it is a broad term that covers multiple aspects of an individual’s physical and social personhood, including, but not limited to, personal autonomy, bodily and psychological integrity, the development of relationships with others, and the right to establish and develop one’s identity in both private and public contexts.</w:t>
      </w:r>
      <w:r>
        <w:rPr>
          <w:rStyle w:val="None"/>
          <w:kern w:val="2"/>
          <w:sz w:val="22"/>
          <w:szCs w:val="22"/>
          <w:vertAlign w:val="superscript"/>
          <w:lang w:val="en-GB"/>
        </w:rPr>
        <w:footnoteReference w:id="10"/>
      </w:r>
      <w:r>
        <w:rPr>
          <w:rStyle w:val="None"/>
          <w:kern w:val="2"/>
          <w:sz w:val="22"/>
          <w:szCs w:val="22"/>
          <w:lang w:val="en-GB"/>
        </w:rPr>
        <w:t xml:space="preserve"> In</w:t>
      </w:r>
      <w:r>
        <w:rPr>
          <w:rStyle w:val="None"/>
          <w:i/>
          <w:iCs/>
          <w:kern w:val="2"/>
          <w:sz w:val="22"/>
          <w:szCs w:val="22"/>
          <w:lang w:val="en-GB"/>
        </w:rPr>
        <w:t xml:space="preserve"> Niemietz v. Germany</w:t>
      </w:r>
      <w:r>
        <w:rPr>
          <w:rStyle w:val="None"/>
          <w:kern w:val="2"/>
          <w:sz w:val="22"/>
          <w:szCs w:val="22"/>
          <w:lang w:val="en-GB"/>
        </w:rPr>
        <w:t>, the Court emphasized that “private life” extends beyond an inner circle of personal intimacy and may encompass professional or business activities.</w:t>
      </w:r>
      <w:r>
        <w:rPr>
          <w:rStyle w:val="None"/>
          <w:kern w:val="2"/>
          <w:sz w:val="22"/>
          <w:szCs w:val="22"/>
          <w:vertAlign w:val="superscript"/>
          <w:lang w:val="en-GB"/>
        </w:rPr>
        <w:footnoteReference w:id="11"/>
      </w:r>
      <w:r>
        <w:rPr>
          <w:rStyle w:val="None"/>
          <w:kern w:val="2"/>
          <w:sz w:val="22"/>
          <w:szCs w:val="22"/>
          <w:lang w:val="en-GB"/>
        </w:rPr>
        <w:t xml:space="preserve"> Moreover, in </w:t>
      </w:r>
      <w:r>
        <w:rPr>
          <w:rStyle w:val="None"/>
          <w:i/>
          <w:iCs/>
          <w:kern w:val="2"/>
          <w:sz w:val="22"/>
          <w:szCs w:val="22"/>
          <w:lang w:val="en-GB"/>
        </w:rPr>
        <w:t>S. and Marper v. the United Kingdom</w:t>
      </w:r>
      <w:r>
        <w:rPr>
          <w:rStyle w:val="None"/>
          <w:kern w:val="2"/>
          <w:sz w:val="22"/>
          <w:szCs w:val="22"/>
          <w:lang w:val="en-GB"/>
        </w:rPr>
        <w:t>, the Grand Chamber confirmed that the protection of personal data, including biometric and genetic information, falls within the scope of private life.</w:t>
      </w:r>
      <w:r>
        <w:rPr>
          <w:rStyle w:val="None"/>
          <w:kern w:val="2"/>
          <w:sz w:val="22"/>
          <w:szCs w:val="22"/>
          <w:vertAlign w:val="superscript"/>
          <w:lang w:val="en-GB"/>
        </w:rPr>
        <w:footnoteReference w:id="12"/>
      </w:r>
      <w:r>
        <w:rPr>
          <w:rStyle w:val="None"/>
          <w:kern w:val="2"/>
          <w:sz w:val="22"/>
          <w:szCs w:val="22"/>
          <w:lang w:val="en-GB"/>
        </w:rPr>
        <w:t xml:space="preserve"> Due to the ubiquity of mobile phones, spyware has the potential to compromise virtually every single aspect of a “private life” as defined by the Court. The Intervener therefore submits that the deployment of spyware by state actors constitutes a grave interference with Article 8 of the Convention.</w:t>
      </w:r>
    </w:p>
    <w:p w14:paraId="2F3659D4" w14:textId="77777777" w:rsidR="006517ED" w:rsidRDefault="006517ED" w:rsidP="006517ED">
      <w:pPr>
        <w:pStyle w:val="BodyB"/>
        <w:numPr>
          <w:ilvl w:val="0"/>
          <w:numId w:val="5"/>
        </w:numPr>
        <w:spacing w:after="160"/>
        <w:rPr>
          <w:b/>
          <w:bCs/>
          <w:sz w:val="22"/>
          <w:szCs w:val="22"/>
          <w:lang w:val="en-GB"/>
        </w:rPr>
      </w:pPr>
      <w:r>
        <w:rPr>
          <w:rStyle w:val="None"/>
          <w:b/>
          <w:bCs/>
          <w:kern w:val="2"/>
          <w:sz w:val="22"/>
          <w:szCs w:val="22"/>
          <w:lang w:val="en-GB"/>
        </w:rPr>
        <w:t xml:space="preserve">The use of spyware is incompatible with Article 8 of the Convention because it violates the essence of the right to respect for private life and correspondence </w:t>
      </w:r>
    </w:p>
    <w:p w14:paraId="5320DBD6" w14:textId="22F8DED4"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The Intervener submits that spyware is inherently more intrusive as compared to traditional surveillance methods. The following section demonstrates why the use of spyware cannot be used in a manner consistent with Convention requirements, and </w:t>
      </w:r>
      <w:r w:rsidR="00635A77">
        <w:rPr>
          <w:rStyle w:val="None"/>
          <w:kern w:val="2"/>
          <w:sz w:val="22"/>
          <w:szCs w:val="22"/>
          <w:lang w:val="en-GB"/>
        </w:rPr>
        <w:t xml:space="preserve">how spyware’s </w:t>
      </w:r>
      <w:r w:rsidR="00714E57">
        <w:rPr>
          <w:rStyle w:val="None"/>
          <w:kern w:val="2"/>
          <w:sz w:val="22"/>
          <w:szCs w:val="22"/>
          <w:lang w:val="en-GB"/>
        </w:rPr>
        <w:t xml:space="preserve">myriad </w:t>
      </w:r>
      <w:r w:rsidR="00635A77">
        <w:rPr>
          <w:rStyle w:val="None"/>
          <w:kern w:val="2"/>
          <w:sz w:val="22"/>
          <w:szCs w:val="22"/>
          <w:lang w:val="en-GB"/>
        </w:rPr>
        <w:t xml:space="preserve">capabilities </w:t>
      </w:r>
      <w:r>
        <w:rPr>
          <w:rStyle w:val="None"/>
          <w:kern w:val="2"/>
          <w:sz w:val="22"/>
          <w:szCs w:val="22"/>
          <w:lang w:val="en-GB"/>
        </w:rPr>
        <w:t xml:space="preserve">compound to transgress upon the very essence of the respect for private life and correspondence.  </w:t>
      </w:r>
    </w:p>
    <w:p w14:paraId="2E9E8CAE" w14:textId="77777777" w:rsidR="006517ED" w:rsidRDefault="006517ED" w:rsidP="006517ED">
      <w:pPr>
        <w:pStyle w:val="BodyB"/>
        <w:numPr>
          <w:ilvl w:val="1"/>
          <w:numId w:val="1"/>
        </w:numPr>
        <w:spacing w:after="160"/>
        <w:rPr>
          <w:i/>
          <w:iCs/>
          <w:sz w:val="22"/>
          <w:szCs w:val="22"/>
          <w:lang w:val="en-GB"/>
        </w:rPr>
      </w:pPr>
      <w:r>
        <w:rPr>
          <w:rStyle w:val="None"/>
          <w:i/>
          <w:iCs/>
          <w:kern w:val="2"/>
          <w:sz w:val="22"/>
          <w:szCs w:val="22"/>
          <w:lang w:val="en-GB"/>
        </w:rPr>
        <w:t>Spyware deployed against a personal device can never be lawful, legitimate, and necessary</w:t>
      </w:r>
    </w:p>
    <w:p w14:paraId="1387A89C"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lastRenderedPageBreak/>
        <w:t xml:space="preserve">To comply with Article 8 of the Convention, a surveillance activity must be lawful, legitimate, and necessary in a democratic society. The Intervener suggests that spyware can never meet these requirements. </w:t>
      </w:r>
    </w:p>
    <w:p w14:paraId="565C2164" w14:textId="3424ABEC" w:rsidR="006517ED" w:rsidRDefault="006517ED" w:rsidP="006517ED">
      <w:pPr>
        <w:pStyle w:val="BodyB"/>
        <w:numPr>
          <w:ilvl w:val="0"/>
          <w:numId w:val="2"/>
        </w:numPr>
        <w:spacing w:after="160"/>
        <w:rPr>
          <w:sz w:val="22"/>
          <w:szCs w:val="22"/>
          <w:lang w:val="en-GB"/>
        </w:rPr>
      </w:pPr>
      <w:r>
        <w:rPr>
          <w:rStyle w:val="None"/>
          <w:kern w:val="2"/>
          <w:sz w:val="22"/>
          <w:szCs w:val="22"/>
          <w:lang w:val="en-GB"/>
        </w:rPr>
        <w:t>For the use of covert surveillance to be lawful, it must be authorised and governed by a law that is precise as to the activities and people that the state plans to surveil, establishes safeguards, and provides the targeted individual access to effective redress.</w:t>
      </w:r>
      <w:r>
        <w:rPr>
          <w:rStyle w:val="None"/>
          <w:kern w:val="2"/>
          <w:sz w:val="22"/>
          <w:szCs w:val="22"/>
          <w:vertAlign w:val="superscript"/>
          <w:lang w:val="en-GB"/>
        </w:rPr>
        <w:footnoteReference w:id="13"/>
      </w:r>
      <w:r>
        <w:rPr>
          <w:rStyle w:val="None"/>
          <w:kern w:val="2"/>
          <w:sz w:val="22"/>
          <w:szCs w:val="22"/>
          <w:lang w:val="en-GB"/>
        </w:rPr>
        <w:t xml:space="preserve"> Spyware fails to meet these requirements. The surveillance it facilitates is broad, limited neither by subject matter nor time</w:t>
      </w:r>
      <w:r w:rsidR="00635A77">
        <w:rPr>
          <w:rStyle w:val="None"/>
          <w:kern w:val="2"/>
          <w:sz w:val="22"/>
          <w:szCs w:val="22"/>
          <w:lang w:val="en-GB"/>
        </w:rPr>
        <w:t xml:space="preserve">. Because </w:t>
      </w:r>
      <w:r>
        <w:rPr>
          <w:rStyle w:val="None"/>
          <w:kern w:val="2"/>
          <w:sz w:val="22"/>
          <w:szCs w:val="22"/>
          <w:lang w:val="en-GB"/>
        </w:rPr>
        <w:t xml:space="preserve">it allows states to view all of the communication a phone sends or receives, review </w:t>
      </w:r>
      <w:r w:rsidR="00635A77">
        <w:rPr>
          <w:rStyle w:val="None"/>
          <w:kern w:val="2"/>
          <w:sz w:val="22"/>
          <w:szCs w:val="22"/>
          <w:lang w:val="en-GB"/>
        </w:rPr>
        <w:t>the</w:t>
      </w:r>
      <w:r>
        <w:rPr>
          <w:rStyle w:val="None"/>
          <w:kern w:val="2"/>
          <w:sz w:val="22"/>
          <w:szCs w:val="22"/>
          <w:lang w:val="en-GB"/>
        </w:rPr>
        <w:t xml:space="preserve"> </w:t>
      </w:r>
      <w:r w:rsidR="00635A77">
        <w:rPr>
          <w:rStyle w:val="None"/>
          <w:kern w:val="2"/>
          <w:sz w:val="22"/>
          <w:szCs w:val="22"/>
          <w:lang w:val="en-GB"/>
        </w:rPr>
        <w:t xml:space="preserve">device’s </w:t>
      </w:r>
      <w:r>
        <w:rPr>
          <w:rStyle w:val="None"/>
          <w:kern w:val="2"/>
          <w:sz w:val="22"/>
          <w:szCs w:val="22"/>
          <w:lang w:val="en-GB"/>
        </w:rPr>
        <w:t xml:space="preserve">stored </w:t>
      </w:r>
      <w:r w:rsidR="00635A77">
        <w:rPr>
          <w:rStyle w:val="None"/>
          <w:kern w:val="2"/>
          <w:sz w:val="22"/>
          <w:szCs w:val="22"/>
          <w:lang w:val="en-GB"/>
        </w:rPr>
        <w:t xml:space="preserve">contents, </w:t>
      </w:r>
      <w:r>
        <w:rPr>
          <w:rStyle w:val="None"/>
          <w:kern w:val="2"/>
          <w:sz w:val="22"/>
          <w:szCs w:val="22"/>
          <w:lang w:val="en-GB"/>
        </w:rPr>
        <w:t>including deleted information, and to engage in remote surveillance through use of the microphone, camera and location tracking, it is not targeted.</w:t>
      </w:r>
      <w:r>
        <w:rPr>
          <w:rStyle w:val="None"/>
          <w:kern w:val="2"/>
          <w:sz w:val="22"/>
          <w:szCs w:val="22"/>
          <w:vertAlign w:val="superscript"/>
          <w:lang w:val="en-GB"/>
        </w:rPr>
        <w:footnoteReference w:id="14"/>
      </w:r>
      <w:r>
        <w:rPr>
          <w:rStyle w:val="None"/>
          <w:kern w:val="2"/>
          <w:sz w:val="22"/>
          <w:szCs w:val="22"/>
          <w:lang w:val="en-GB"/>
        </w:rPr>
        <w:t xml:space="preserve"> Further, because Spyware often leaves little, if any, trace and can be used to manipulate information on a device, it threatens targeted individuals’ access to meaningful legal recourse.</w:t>
      </w:r>
      <w:r>
        <w:rPr>
          <w:rStyle w:val="None"/>
          <w:kern w:val="2"/>
          <w:sz w:val="22"/>
          <w:szCs w:val="22"/>
          <w:vertAlign w:val="superscript"/>
          <w:lang w:val="en-GB"/>
        </w:rPr>
        <w:footnoteReference w:id="15"/>
      </w:r>
      <w:r>
        <w:rPr>
          <w:rStyle w:val="None"/>
          <w:kern w:val="2"/>
          <w:sz w:val="22"/>
          <w:szCs w:val="22"/>
          <w:lang w:val="en-GB"/>
        </w:rPr>
        <w:t xml:space="preserve"> </w:t>
      </w:r>
    </w:p>
    <w:p w14:paraId="2779E66D" w14:textId="77777777" w:rsidR="006517ED" w:rsidRDefault="006517ED" w:rsidP="006517ED">
      <w:pPr>
        <w:pStyle w:val="BodyB"/>
        <w:numPr>
          <w:ilvl w:val="0"/>
          <w:numId w:val="2"/>
        </w:numPr>
        <w:spacing w:after="240"/>
        <w:rPr>
          <w:sz w:val="22"/>
          <w:szCs w:val="22"/>
          <w:lang w:val="en-GB"/>
        </w:rPr>
      </w:pPr>
      <w:r>
        <w:rPr>
          <w:rStyle w:val="None"/>
          <w:kern w:val="2"/>
          <w:sz w:val="22"/>
          <w:szCs w:val="22"/>
          <w:lang w:val="en-GB"/>
        </w:rPr>
        <w:t xml:space="preserve">For the use of spyware to be legitimate, the state must be using it for a lawful purpose, such as for national security. The use must be proportionate to this aim, and, in constituting an interference with the right to privacy in a covert surveillance context, must be </w:t>
      </w:r>
      <w:r>
        <w:rPr>
          <w:rStyle w:val="None"/>
          <w:i/>
          <w:iCs/>
          <w:kern w:val="2"/>
          <w:sz w:val="22"/>
          <w:szCs w:val="22"/>
          <w:lang w:val="en-GB"/>
        </w:rPr>
        <w:t xml:space="preserve">strictly </w:t>
      </w:r>
      <w:r>
        <w:rPr>
          <w:rStyle w:val="None"/>
          <w:kern w:val="2"/>
          <w:sz w:val="22"/>
          <w:szCs w:val="22"/>
          <w:lang w:val="en-GB"/>
        </w:rPr>
        <w:t>necessary in a democratic society.</w:t>
      </w:r>
      <w:r>
        <w:rPr>
          <w:rStyle w:val="None"/>
          <w:kern w:val="2"/>
          <w:sz w:val="22"/>
          <w:szCs w:val="22"/>
          <w:vertAlign w:val="superscript"/>
          <w:lang w:val="en-GB"/>
        </w:rPr>
        <w:footnoteReference w:id="16"/>
      </w:r>
      <w:r>
        <w:rPr>
          <w:rStyle w:val="None"/>
          <w:kern w:val="2"/>
          <w:sz w:val="22"/>
          <w:szCs w:val="22"/>
          <w:lang w:val="en-GB"/>
        </w:rPr>
        <w:t xml:space="preserve"> In </w:t>
      </w:r>
      <w:r>
        <w:rPr>
          <w:rStyle w:val="None"/>
          <w:i/>
          <w:iCs/>
          <w:kern w:val="2"/>
          <w:sz w:val="22"/>
          <w:szCs w:val="22"/>
          <w:lang w:val="en-GB"/>
        </w:rPr>
        <w:t>Szabó and Vissy v. Hungary</w:t>
      </w:r>
      <w:r>
        <w:rPr>
          <w:rStyle w:val="None"/>
          <w:kern w:val="2"/>
          <w:sz w:val="22"/>
          <w:szCs w:val="22"/>
          <w:lang w:val="en-GB"/>
        </w:rPr>
        <w:t xml:space="preserve">, the Court wrote: </w:t>
      </w:r>
    </w:p>
    <w:p w14:paraId="0A89A90F" w14:textId="77777777" w:rsidR="006517ED" w:rsidRDefault="006517ED" w:rsidP="006517ED">
      <w:pPr>
        <w:pStyle w:val="Default"/>
        <w:spacing w:before="0" w:after="240" w:line="240" w:lineRule="auto"/>
        <w:ind w:left="1350"/>
        <w:jc w:val="both"/>
        <w:rPr>
          <w:rStyle w:val="None"/>
          <w:rFonts w:ascii="Times New Roman" w:eastAsia="Times New Roman" w:hAnsi="Times New Roman" w:cs="Times New Roman"/>
          <w:lang w:val="en-GB"/>
        </w:rPr>
      </w:pPr>
      <w:r>
        <w:rPr>
          <w:rStyle w:val="None"/>
          <w:rFonts w:ascii="Times New Roman" w:hAnsi="Times New Roman"/>
          <w:sz w:val="22"/>
          <w:szCs w:val="22"/>
          <w:lang w:val="en-GB"/>
        </w:rPr>
        <w:t>given the potential of cutting edge surveillance technologies to invade citizens’ privacy, a measure of secret surveillance can be found as being in compliance with the Convention only if it is strictly necessary, as a general consideration, for the safeguarding of democratic institutions and, moreover, if it is strictly, as a particular consideration, for the obtaining of vital intelligence in an individual operation. In the Court’s view, any measure of secret surveillance which does not correspond to these criteria will be prone to abuse by the authorities with formidable technologies at their disposal.</w:t>
      </w:r>
      <w:r>
        <w:rPr>
          <w:rStyle w:val="None"/>
          <w:rFonts w:ascii="Times New Roman" w:eastAsia="Times New Roman" w:hAnsi="Times New Roman" w:cs="Times New Roman"/>
          <w:sz w:val="22"/>
          <w:szCs w:val="22"/>
          <w:vertAlign w:val="superscript"/>
          <w:lang w:val="en-GB"/>
        </w:rPr>
        <w:footnoteReference w:id="17"/>
      </w:r>
    </w:p>
    <w:p w14:paraId="5E276689" w14:textId="77777777" w:rsidR="006517ED" w:rsidRDefault="006517ED" w:rsidP="006517ED">
      <w:pPr>
        <w:pStyle w:val="Default"/>
        <w:numPr>
          <w:ilvl w:val="0"/>
          <w:numId w:val="2"/>
        </w:numPr>
        <w:spacing w:before="0" w:after="240" w:line="240" w:lineRule="auto"/>
        <w:rPr>
          <w:lang w:val="en-GB"/>
        </w:rPr>
      </w:pPr>
      <w:r>
        <w:rPr>
          <w:rFonts w:ascii="Times New Roman" w:hAnsi="Times New Roman"/>
          <w:sz w:val="22"/>
          <w:szCs w:val="22"/>
          <w:lang w:val="en-GB"/>
        </w:rPr>
        <w:t xml:space="preserve">Although it is conceivable that a state </w:t>
      </w:r>
      <w:r>
        <w:rPr>
          <w:rStyle w:val="None"/>
          <w:rFonts w:ascii="Times New Roman" w:hAnsi="Times New Roman"/>
          <w:i/>
          <w:iCs/>
          <w:sz w:val="22"/>
          <w:szCs w:val="22"/>
          <w:lang w:val="en-GB"/>
        </w:rPr>
        <w:t xml:space="preserve">could </w:t>
      </w:r>
      <w:r>
        <w:rPr>
          <w:rFonts w:ascii="Times New Roman" w:hAnsi="Times New Roman"/>
          <w:sz w:val="22"/>
          <w:szCs w:val="22"/>
          <w:lang w:val="en-GB"/>
        </w:rPr>
        <w:t>use commercial spyware for a legitimate purpose, which, is not the typical Pegasus use-case,</w:t>
      </w:r>
      <w:r>
        <w:rPr>
          <w:rStyle w:val="None"/>
          <w:rFonts w:ascii="Times New Roman" w:eastAsia="Times New Roman" w:hAnsi="Times New Roman" w:cs="Times New Roman"/>
          <w:sz w:val="22"/>
          <w:szCs w:val="22"/>
          <w:vertAlign w:val="superscript"/>
          <w:lang w:val="en-GB"/>
        </w:rPr>
        <w:footnoteReference w:id="18"/>
      </w:r>
      <w:r>
        <w:rPr>
          <w:rFonts w:ascii="Times New Roman" w:hAnsi="Times New Roman"/>
          <w:sz w:val="22"/>
          <w:szCs w:val="22"/>
          <w:lang w:val="en-GB"/>
        </w:rPr>
        <w:t xml:space="preserve"> it does not meet the requirements </w:t>
      </w:r>
      <w:r>
        <w:rPr>
          <w:rStyle w:val="None"/>
          <w:rFonts w:ascii="Times New Roman" w:hAnsi="Times New Roman"/>
          <w:i/>
          <w:iCs/>
          <w:kern w:val="2"/>
          <w:sz w:val="22"/>
          <w:szCs w:val="22"/>
          <w:lang w:val="en-GB"/>
        </w:rPr>
        <w:t xml:space="preserve">Szabó </w:t>
      </w:r>
      <w:r>
        <w:rPr>
          <w:rStyle w:val="None"/>
          <w:rFonts w:ascii="Times New Roman" w:hAnsi="Times New Roman"/>
          <w:kern w:val="2"/>
          <w:sz w:val="22"/>
          <w:szCs w:val="22"/>
          <w:lang w:val="en-GB"/>
        </w:rPr>
        <w:t xml:space="preserve">establishes. Governments have access to other, less invasive forms of intelligence gathering, and as discussed in paragraph 4-7, above, it has the potential to capture a broad scope of personal information, not specific intelligence vital to an investigation or operation. </w:t>
      </w:r>
    </w:p>
    <w:p w14:paraId="2895778D" w14:textId="77777777" w:rsidR="006517ED" w:rsidRDefault="006517ED" w:rsidP="006517ED">
      <w:pPr>
        <w:pStyle w:val="Default"/>
        <w:numPr>
          <w:ilvl w:val="0"/>
          <w:numId w:val="2"/>
        </w:numPr>
        <w:spacing w:before="0" w:after="240" w:line="240" w:lineRule="auto"/>
        <w:rPr>
          <w:rFonts w:ascii="Times New Roman" w:hAnsi="Times New Roman"/>
          <w:sz w:val="22"/>
          <w:szCs w:val="22"/>
          <w:lang w:val="en-GB"/>
        </w:rPr>
      </w:pPr>
      <w:r>
        <w:rPr>
          <w:rFonts w:ascii="Times New Roman" w:hAnsi="Times New Roman"/>
          <w:sz w:val="22"/>
          <w:szCs w:val="22"/>
          <w:lang w:val="en-GB"/>
        </w:rPr>
        <w:t>Finally, the use of spyware must be proportionate to the state’s aim. This Court has previously emphasised the disproportionate nature of two of the key capabilities of spyware. First, it has characterised communication surveillance as a field where the potential for abuse is extremely high,</w:t>
      </w:r>
      <w:r>
        <w:rPr>
          <w:rStyle w:val="None"/>
          <w:rFonts w:ascii="Times New Roman" w:eastAsia="Times New Roman" w:hAnsi="Times New Roman" w:cs="Times New Roman"/>
          <w:sz w:val="22"/>
          <w:szCs w:val="22"/>
          <w:vertAlign w:val="superscript"/>
          <w:lang w:val="en-GB"/>
        </w:rPr>
        <w:footnoteReference w:id="19"/>
      </w:r>
      <w:r>
        <w:rPr>
          <w:rFonts w:ascii="Times New Roman" w:hAnsi="Times New Roman"/>
          <w:sz w:val="22"/>
          <w:szCs w:val="22"/>
          <w:lang w:val="en-GB"/>
        </w:rPr>
        <w:t xml:space="preserve"> holding in </w:t>
      </w:r>
      <w:r>
        <w:rPr>
          <w:rStyle w:val="None"/>
          <w:rFonts w:ascii="Times New Roman" w:hAnsi="Times New Roman"/>
          <w:i/>
          <w:iCs/>
          <w:kern w:val="2"/>
          <w:sz w:val="22"/>
          <w:szCs w:val="22"/>
          <w:lang w:val="en-GB"/>
        </w:rPr>
        <w:t>Bărbulescu</w:t>
      </w:r>
      <w:r>
        <w:rPr>
          <w:rStyle w:val="None"/>
          <w:rFonts w:ascii="Times New Roman" w:hAnsi="Times New Roman"/>
          <w:i/>
          <w:iCs/>
          <w:sz w:val="22"/>
          <w:szCs w:val="22"/>
          <w:lang w:val="en-GB"/>
        </w:rPr>
        <w:t xml:space="preserve">, </w:t>
      </w:r>
      <w:r>
        <w:rPr>
          <w:rFonts w:ascii="Times New Roman" w:hAnsi="Times New Roman"/>
          <w:sz w:val="22"/>
          <w:szCs w:val="22"/>
          <w:lang w:val="en-GB"/>
        </w:rPr>
        <w:t>that “monitoring of the content of communications is by nature a distinctly more invasive method” requiring a “weightier justification”.</w:t>
      </w:r>
      <w:r>
        <w:rPr>
          <w:rStyle w:val="None"/>
          <w:rFonts w:ascii="Times New Roman" w:eastAsia="Times New Roman" w:hAnsi="Times New Roman" w:cs="Times New Roman"/>
          <w:sz w:val="22"/>
          <w:szCs w:val="22"/>
          <w:vertAlign w:val="superscript"/>
          <w:lang w:val="en-GB"/>
        </w:rPr>
        <w:footnoteReference w:id="20"/>
      </w:r>
      <w:r>
        <w:rPr>
          <w:rFonts w:ascii="Times New Roman" w:hAnsi="Times New Roman"/>
          <w:sz w:val="22"/>
          <w:szCs w:val="22"/>
          <w:lang w:val="en-GB"/>
        </w:rPr>
        <w:t xml:space="preserve"> Spyware has the potential to monitor business and personal communications, and the communications of those in the targeted device’s vicinity. Second, the Court has discussed the importance of protecting </w:t>
      </w:r>
      <w:r>
        <w:rPr>
          <w:rFonts w:ascii="Times New Roman" w:hAnsi="Times New Roman"/>
          <w:sz w:val="22"/>
          <w:szCs w:val="22"/>
          <w:lang w:val="en-GB"/>
        </w:rPr>
        <w:lastRenderedPageBreak/>
        <w:t>highly sensitive data, such as health</w:t>
      </w:r>
      <w:r>
        <w:rPr>
          <w:rStyle w:val="None"/>
          <w:rFonts w:ascii="Times New Roman" w:eastAsia="Times New Roman" w:hAnsi="Times New Roman" w:cs="Times New Roman"/>
          <w:sz w:val="22"/>
          <w:szCs w:val="22"/>
          <w:vertAlign w:val="superscript"/>
          <w:lang w:val="en-GB"/>
        </w:rPr>
        <w:footnoteReference w:id="21"/>
      </w:r>
      <w:r>
        <w:rPr>
          <w:rFonts w:ascii="Times New Roman" w:hAnsi="Times New Roman"/>
          <w:sz w:val="22"/>
          <w:szCs w:val="22"/>
          <w:lang w:val="en-GB"/>
        </w:rPr>
        <w:t xml:space="preserve"> and biometric data,</w:t>
      </w:r>
      <w:r>
        <w:rPr>
          <w:rStyle w:val="None"/>
          <w:rFonts w:ascii="Times New Roman" w:eastAsia="Times New Roman" w:hAnsi="Times New Roman" w:cs="Times New Roman"/>
          <w:sz w:val="22"/>
          <w:szCs w:val="22"/>
          <w:vertAlign w:val="superscript"/>
          <w:lang w:val="en-GB"/>
        </w:rPr>
        <w:footnoteReference w:id="22"/>
      </w:r>
      <w:r>
        <w:rPr>
          <w:rFonts w:ascii="Times New Roman" w:hAnsi="Times New Roman"/>
          <w:sz w:val="22"/>
          <w:szCs w:val="22"/>
          <w:lang w:val="en-GB"/>
        </w:rPr>
        <w:t xml:space="preserve"> as well as important facets of identity, and intimate aspects of private life.</w:t>
      </w:r>
      <w:r>
        <w:rPr>
          <w:rStyle w:val="None"/>
          <w:rFonts w:ascii="Times New Roman" w:eastAsia="Times New Roman" w:hAnsi="Times New Roman" w:cs="Times New Roman"/>
          <w:sz w:val="22"/>
          <w:szCs w:val="22"/>
          <w:vertAlign w:val="superscript"/>
          <w:lang w:val="en-GB"/>
        </w:rPr>
        <w:footnoteReference w:id="23"/>
      </w:r>
      <w:r>
        <w:rPr>
          <w:rFonts w:ascii="Times New Roman" w:hAnsi="Times New Roman"/>
          <w:sz w:val="22"/>
          <w:szCs w:val="22"/>
          <w:lang w:val="en-GB"/>
        </w:rPr>
        <w:t xml:space="preserve"> Since personal devices contain sensitive data requiring heightened scrutiny, and since it appears impossible to operate spyware like Pegasus without allowing access to this kind of information, the Intervener submits that it is impossible to use the technology in a proportionate manner. </w:t>
      </w:r>
    </w:p>
    <w:p w14:paraId="091837A4" w14:textId="385E2F68" w:rsidR="006517ED" w:rsidRDefault="006517ED" w:rsidP="006517ED">
      <w:pPr>
        <w:pStyle w:val="Default"/>
        <w:numPr>
          <w:ilvl w:val="0"/>
          <w:numId w:val="2"/>
        </w:numPr>
        <w:spacing w:before="0" w:after="240" w:line="240" w:lineRule="auto"/>
        <w:rPr>
          <w:rFonts w:ascii="Times New Roman" w:hAnsi="Times New Roman"/>
          <w:sz w:val="22"/>
          <w:szCs w:val="22"/>
          <w:lang w:val="en-GB"/>
        </w:rPr>
      </w:pPr>
      <w:r>
        <w:rPr>
          <w:rFonts w:ascii="Times New Roman" w:hAnsi="Times New Roman"/>
          <w:sz w:val="22"/>
          <w:szCs w:val="22"/>
          <w:lang w:val="en-GB"/>
        </w:rPr>
        <w:t xml:space="preserve">Spyware’s reliance on vulnerabilities in communication systems engages proportionality on a third ground - by relying on vulnerabilities, spyware makes the use of personal mobile devices and communications systems less secure for </w:t>
      </w:r>
      <w:r w:rsidR="00714E57">
        <w:rPr>
          <w:rFonts w:ascii="Times New Roman" w:hAnsi="Times New Roman"/>
          <w:sz w:val="22"/>
          <w:szCs w:val="22"/>
          <w:lang w:val="en-GB"/>
        </w:rPr>
        <w:t>everyone, even non-targeted individuals</w:t>
      </w:r>
      <w:r>
        <w:rPr>
          <w:rFonts w:ascii="Times New Roman" w:hAnsi="Times New Roman"/>
          <w:sz w:val="22"/>
          <w:szCs w:val="22"/>
          <w:lang w:val="en-GB"/>
        </w:rPr>
        <w:t xml:space="preserve">. Even when spyware is deployed in the context of a legitimate aim, this cannot on its own outweigh the privacy and security interests of </w:t>
      </w:r>
      <w:r w:rsidR="00635A77">
        <w:rPr>
          <w:rFonts w:ascii="Times New Roman" w:hAnsi="Times New Roman"/>
          <w:sz w:val="22"/>
          <w:szCs w:val="22"/>
          <w:lang w:val="en-GB"/>
        </w:rPr>
        <w:t>the general public</w:t>
      </w:r>
      <w:r>
        <w:rPr>
          <w:rFonts w:ascii="Times New Roman" w:hAnsi="Times New Roman"/>
          <w:sz w:val="22"/>
          <w:szCs w:val="22"/>
          <w:lang w:val="en-GB"/>
        </w:rPr>
        <w:t>, whose sensitive personal data are rendered vulnerable to third-party exploitation.</w:t>
      </w:r>
      <w:r>
        <w:rPr>
          <w:rStyle w:val="None"/>
          <w:rFonts w:ascii="Times New Roman" w:eastAsia="Times New Roman" w:hAnsi="Times New Roman" w:cs="Times New Roman"/>
          <w:sz w:val="22"/>
          <w:szCs w:val="22"/>
          <w:vertAlign w:val="superscript"/>
          <w:lang w:val="en-GB"/>
        </w:rPr>
        <w:footnoteReference w:id="24"/>
      </w:r>
    </w:p>
    <w:p w14:paraId="011B32C6" w14:textId="160BF40D" w:rsidR="006517ED" w:rsidRDefault="006517ED" w:rsidP="006517ED">
      <w:pPr>
        <w:pStyle w:val="Default"/>
        <w:numPr>
          <w:ilvl w:val="0"/>
          <w:numId w:val="2"/>
        </w:numPr>
        <w:spacing w:before="0" w:after="240" w:line="240" w:lineRule="auto"/>
        <w:rPr>
          <w:rFonts w:ascii="Times New Roman" w:hAnsi="Times New Roman"/>
          <w:sz w:val="22"/>
          <w:szCs w:val="22"/>
          <w:lang w:val="en-GB"/>
        </w:rPr>
      </w:pPr>
      <w:r>
        <w:rPr>
          <w:rFonts w:ascii="Times New Roman" w:hAnsi="Times New Roman"/>
          <w:sz w:val="22"/>
          <w:szCs w:val="22"/>
          <w:lang w:val="en-GB"/>
        </w:rPr>
        <w:t xml:space="preserve">Spyware deployed against a personal device is a form of surveillance that is so broad as to the </w:t>
      </w:r>
      <w:r w:rsidR="00635A77">
        <w:rPr>
          <w:rFonts w:ascii="Times New Roman" w:hAnsi="Times New Roman"/>
          <w:sz w:val="22"/>
          <w:szCs w:val="22"/>
          <w:lang w:val="en-GB"/>
        </w:rPr>
        <w:t xml:space="preserve">surveillance’s </w:t>
      </w:r>
      <w:r>
        <w:rPr>
          <w:rFonts w:ascii="Times New Roman" w:hAnsi="Times New Roman"/>
          <w:sz w:val="22"/>
          <w:szCs w:val="22"/>
          <w:lang w:val="en-GB"/>
        </w:rPr>
        <w:t>target, subject matte</w:t>
      </w:r>
      <w:r w:rsidR="00635A77">
        <w:rPr>
          <w:rFonts w:ascii="Times New Roman" w:hAnsi="Times New Roman"/>
          <w:sz w:val="22"/>
          <w:szCs w:val="22"/>
          <w:lang w:val="en-GB"/>
        </w:rPr>
        <w:t>r</w:t>
      </w:r>
      <w:r>
        <w:rPr>
          <w:rFonts w:ascii="Times New Roman" w:hAnsi="Times New Roman"/>
          <w:sz w:val="22"/>
          <w:szCs w:val="22"/>
          <w:lang w:val="en-GB"/>
        </w:rPr>
        <w:t xml:space="preserve">, </w:t>
      </w:r>
      <w:r w:rsidR="00635A77">
        <w:rPr>
          <w:rFonts w:ascii="Times New Roman" w:hAnsi="Times New Roman"/>
          <w:sz w:val="22"/>
          <w:szCs w:val="22"/>
          <w:lang w:val="en-GB"/>
        </w:rPr>
        <w:t xml:space="preserve">and length; </w:t>
      </w:r>
      <w:r>
        <w:rPr>
          <w:rFonts w:ascii="Times New Roman" w:hAnsi="Times New Roman"/>
          <w:sz w:val="22"/>
          <w:szCs w:val="22"/>
          <w:lang w:val="en-GB"/>
        </w:rPr>
        <w:t>so</w:t>
      </w:r>
      <w:r w:rsidR="00635A77">
        <w:rPr>
          <w:rFonts w:ascii="Times New Roman" w:hAnsi="Times New Roman"/>
          <w:sz w:val="22"/>
          <w:szCs w:val="22"/>
          <w:lang w:val="en-GB"/>
        </w:rPr>
        <w:t xml:space="preserve"> intrusive as to the degree of information it can reveal; so</w:t>
      </w:r>
      <w:r>
        <w:rPr>
          <w:rFonts w:ascii="Times New Roman" w:hAnsi="Times New Roman"/>
          <w:sz w:val="22"/>
          <w:szCs w:val="22"/>
          <w:lang w:val="en-GB"/>
        </w:rPr>
        <w:t xml:space="preserve"> dangerous as to the</w:t>
      </w:r>
      <w:r w:rsidR="00714E57">
        <w:rPr>
          <w:rFonts w:ascii="Times New Roman" w:hAnsi="Times New Roman"/>
          <w:sz w:val="22"/>
          <w:szCs w:val="22"/>
          <w:lang w:val="en-GB"/>
        </w:rPr>
        <w:t xml:space="preserve"> unchecked</w:t>
      </w:r>
      <w:r w:rsidR="00635A77">
        <w:rPr>
          <w:rFonts w:ascii="Times New Roman" w:hAnsi="Times New Roman"/>
          <w:sz w:val="22"/>
          <w:szCs w:val="22"/>
          <w:lang w:val="en-GB"/>
        </w:rPr>
        <w:t xml:space="preserve"> power it grants states; and so damaging</w:t>
      </w:r>
      <w:r w:rsidR="00714E57">
        <w:rPr>
          <w:rFonts w:ascii="Times New Roman" w:hAnsi="Times New Roman"/>
          <w:sz w:val="22"/>
          <w:szCs w:val="22"/>
          <w:lang w:val="en-GB"/>
        </w:rPr>
        <w:t xml:space="preserve"> as</w:t>
      </w:r>
      <w:r w:rsidR="00635A77">
        <w:rPr>
          <w:rFonts w:ascii="Times New Roman" w:hAnsi="Times New Roman"/>
          <w:sz w:val="22"/>
          <w:szCs w:val="22"/>
          <w:lang w:val="en-GB"/>
        </w:rPr>
        <w:t xml:space="preserve"> </w:t>
      </w:r>
      <w:r w:rsidR="00714E57">
        <w:rPr>
          <w:rFonts w:ascii="Times New Roman" w:hAnsi="Times New Roman"/>
          <w:sz w:val="22"/>
          <w:szCs w:val="22"/>
          <w:lang w:val="en-GB"/>
        </w:rPr>
        <w:t>to the general security of communication networks;</w:t>
      </w:r>
      <w:r>
        <w:rPr>
          <w:rFonts w:ascii="Times New Roman" w:hAnsi="Times New Roman"/>
          <w:sz w:val="22"/>
          <w:szCs w:val="22"/>
          <w:lang w:val="en-GB"/>
        </w:rPr>
        <w:t xml:space="preserve"> that the Intervener submits that this form of secret surveillance can never be lawful, necessary, or proportionate, no matter the degree of legitimacy of a state’s aim. </w:t>
      </w:r>
    </w:p>
    <w:p w14:paraId="0B777F25" w14:textId="77777777" w:rsidR="006517ED" w:rsidRDefault="006517ED" w:rsidP="006517ED">
      <w:pPr>
        <w:pStyle w:val="BodyB"/>
        <w:numPr>
          <w:ilvl w:val="1"/>
          <w:numId w:val="1"/>
        </w:numPr>
        <w:spacing w:after="160"/>
        <w:rPr>
          <w:i/>
          <w:iCs/>
          <w:sz w:val="22"/>
          <w:szCs w:val="22"/>
          <w:lang w:val="en-GB"/>
        </w:rPr>
      </w:pPr>
      <w:r>
        <w:rPr>
          <w:rStyle w:val="None"/>
          <w:i/>
          <w:iCs/>
          <w:kern w:val="2"/>
          <w:sz w:val="22"/>
          <w:szCs w:val="22"/>
          <w:lang w:val="en-GB"/>
        </w:rPr>
        <w:t xml:space="preserve">Spyware transgresses upon the essence of the right to privacy </w:t>
      </w:r>
    </w:p>
    <w:p w14:paraId="02555E2D"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The right to private life is not without limits, but those limits are themselves bounded. The concept of the "essence" of a right, namely an irreducible, non-derogable core, operates as a structural constraint on state power. It is the point beyond which even a legitimate, proportionate interference cannot go without destroying the right itself. </w:t>
      </w:r>
    </w:p>
    <w:p w14:paraId="200A9803"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The Intervener submits that, due to its very nature and failure to satisfy the requirements imposed by the Convention, the deployment of spyware against a personal device compromises the essence of Article 8.</w:t>
      </w:r>
    </w:p>
    <w:p w14:paraId="51767B01"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The essence of the right to private life, as this Court has consistently articulated, rests on three interlocking values: human dignity, personal autonomy and the security of a protected sphere of private existence. In other words, Article 8 cannot be restricted below a domain within which individuals may develop their identity, maintain confidential relationships and communicate freely without arbitrary state intrusion. In </w:t>
      </w:r>
      <w:r>
        <w:rPr>
          <w:rStyle w:val="None"/>
          <w:i/>
          <w:iCs/>
          <w:kern w:val="2"/>
          <w:sz w:val="22"/>
          <w:szCs w:val="22"/>
          <w:lang w:val="en-GB"/>
        </w:rPr>
        <w:t>Christine Goodwin v. the UK,</w:t>
      </w:r>
      <w:r>
        <w:rPr>
          <w:rStyle w:val="None"/>
          <w:kern w:val="2"/>
          <w:sz w:val="22"/>
          <w:szCs w:val="22"/>
          <w:lang w:val="en-GB"/>
        </w:rPr>
        <w:t xml:space="preserve"> the Grand Chamber held that "the very essence of the Convention is respect for human dignity and human freedom," and that "under Article 8 of the Convention in particular, where the notion of personal autonomy is an important principle underlying the interpretation of its guarantees, protection is given to the personal sphere of each individual."</w:t>
      </w:r>
      <w:r>
        <w:rPr>
          <w:rStyle w:val="None"/>
          <w:kern w:val="2"/>
          <w:sz w:val="22"/>
          <w:szCs w:val="22"/>
          <w:vertAlign w:val="superscript"/>
          <w:lang w:val="en-GB"/>
        </w:rPr>
        <w:footnoteReference w:id="25"/>
      </w:r>
      <w:r>
        <w:rPr>
          <w:rStyle w:val="None"/>
          <w:kern w:val="2"/>
          <w:sz w:val="22"/>
          <w:szCs w:val="22"/>
          <w:lang w:val="en-GB"/>
        </w:rPr>
        <w:t xml:space="preserve"> This Court has further confirmed that the right to private life includes the right to a "private social life", which pertains to the individual's ability to develop their social identity, and maintain the confidentiality of their personal relationships and communications.</w:t>
      </w:r>
      <w:r>
        <w:rPr>
          <w:rStyle w:val="None"/>
          <w:kern w:val="2"/>
          <w:sz w:val="22"/>
          <w:szCs w:val="22"/>
          <w:vertAlign w:val="superscript"/>
          <w:lang w:val="en-GB"/>
        </w:rPr>
        <w:footnoteReference w:id="26"/>
      </w:r>
      <w:r>
        <w:rPr>
          <w:rStyle w:val="None"/>
          <w:kern w:val="2"/>
          <w:sz w:val="22"/>
          <w:szCs w:val="22"/>
          <w:lang w:val="en-GB"/>
        </w:rPr>
        <w:t xml:space="preserve"> The Intervener submits that these values, namely dignity, autonomy and secure private space, constitute the irreducible essence of Article 8, which state action cannot be allowed to extinguish.</w:t>
      </w:r>
    </w:p>
    <w:p w14:paraId="4959A845"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The relevance of the "essence" concept to communications surveillance is not speculative. In </w:t>
      </w:r>
      <w:r>
        <w:rPr>
          <w:rStyle w:val="None"/>
          <w:i/>
          <w:iCs/>
          <w:kern w:val="2"/>
          <w:sz w:val="22"/>
          <w:szCs w:val="22"/>
          <w:lang w:val="en-GB"/>
        </w:rPr>
        <w:t>Podchasov v. Russia</w:t>
      </w:r>
      <w:r>
        <w:rPr>
          <w:rStyle w:val="None"/>
          <w:kern w:val="2"/>
          <w:sz w:val="22"/>
          <w:szCs w:val="22"/>
          <w:lang w:val="en-GB"/>
        </w:rPr>
        <w:t xml:space="preserve">, this Court found that measures requiring generalised access to the </w:t>
      </w:r>
      <w:r>
        <w:rPr>
          <w:rStyle w:val="None"/>
          <w:kern w:val="2"/>
          <w:sz w:val="22"/>
          <w:szCs w:val="22"/>
          <w:lang w:val="en-GB"/>
        </w:rPr>
        <w:lastRenderedPageBreak/>
        <w:t>content of electronic communications without sufficient safeguards "impairs the very essence of the right to respect for private life" under Article 8.</w:t>
      </w:r>
      <w:r>
        <w:rPr>
          <w:rStyle w:val="None"/>
          <w:kern w:val="2"/>
          <w:sz w:val="22"/>
          <w:szCs w:val="22"/>
          <w:vertAlign w:val="superscript"/>
          <w:lang w:val="en-GB"/>
        </w:rPr>
        <w:footnoteReference w:id="27"/>
      </w:r>
      <w:r>
        <w:rPr>
          <w:rStyle w:val="None"/>
          <w:kern w:val="2"/>
          <w:sz w:val="22"/>
          <w:szCs w:val="22"/>
          <w:lang w:val="en-GB"/>
        </w:rPr>
        <w:t xml:space="preserve"> The Court reached this finding in the context of legislation requiring telecommunications providers to store and facilitate access to encrypted communications.</w:t>
      </w:r>
      <w:r>
        <w:rPr>
          <w:rStyle w:val="None"/>
          <w:kern w:val="2"/>
          <w:sz w:val="22"/>
          <w:szCs w:val="22"/>
          <w:vertAlign w:val="superscript"/>
          <w:lang w:val="en-GB"/>
        </w:rPr>
        <w:footnoteReference w:id="28"/>
      </w:r>
      <w:r>
        <w:rPr>
          <w:rStyle w:val="None"/>
          <w:kern w:val="2"/>
          <w:sz w:val="22"/>
          <w:szCs w:val="22"/>
          <w:lang w:val="en-GB"/>
        </w:rPr>
        <w:t xml:space="preserve"> If mandated access to stored communications data impairs the essence of Article 8, the covert, complete, and invisible takeover of a personal device enabled by spyware must do so a fortiori.</w:t>
      </w:r>
    </w:p>
    <w:p w14:paraId="0F994B91"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The Council of Europe Commissioner for Human Rights has confirmed this reasoning, observing in January 2023 that highly intrusive spyware "threatens the essence of human rights" and that tools such as Pegasus could impair the essence of the right to privacy.</w:t>
      </w:r>
      <w:r>
        <w:rPr>
          <w:rStyle w:val="None"/>
          <w:kern w:val="2"/>
          <w:sz w:val="22"/>
          <w:szCs w:val="22"/>
          <w:vertAlign w:val="superscript"/>
          <w:lang w:val="en-GB"/>
        </w:rPr>
        <w:footnoteReference w:id="29"/>
      </w:r>
      <w:r>
        <w:rPr>
          <w:rStyle w:val="None"/>
          <w:kern w:val="2"/>
          <w:sz w:val="22"/>
          <w:szCs w:val="22"/>
          <w:lang w:val="en-GB"/>
        </w:rPr>
        <w:t xml:space="preserve"> The UN High Commissioner for Human Rights similarly concluded that tools capable of turning smartphones into "24-hour surveillance devices" could affect “the essence of the right to privacy and interfere with the absolute rights to freedom of thought and opinion” (footnote omitted).</w:t>
      </w:r>
      <w:r>
        <w:rPr>
          <w:rStyle w:val="None"/>
          <w:kern w:val="2"/>
          <w:sz w:val="22"/>
          <w:szCs w:val="22"/>
          <w:vertAlign w:val="superscript"/>
          <w:lang w:val="en-GB"/>
        </w:rPr>
        <w:footnoteReference w:id="30"/>
      </w:r>
    </w:p>
    <w:p w14:paraId="06F4ADC1" w14:textId="77777777" w:rsidR="006517ED" w:rsidRDefault="006517ED" w:rsidP="006517ED">
      <w:pPr>
        <w:pStyle w:val="BodyB"/>
        <w:numPr>
          <w:ilvl w:val="0"/>
          <w:numId w:val="2"/>
        </w:numPr>
        <w:rPr>
          <w:sz w:val="22"/>
          <w:szCs w:val="22"/>
          <w:lang w:val="en-GB"/>
        </w:rPr>
      </w:pPr>
      <w:r>
        <w:rPr>
          <w:rStyle w:val="None"/>
          <w:kern w:val="2"/>
          <w:sz w:val="22"/>
          <w:szCs w:val="22"/>
          <w:lang w:val="en-GB"/>
        </w:rPr>
        <w:t xml:space="preserve">The Intervener therefore submits that the Court should hold that the deployment of spyware against personal devices impairs the very essence of Article 8, regardless of the purpose invoked by the deploying state. This finding — which, mirrors and extends the Court's reasoning in </w:t>
      </w:r>
      <w:r>
        <w:rPr>
          <w:rStyle w:val="None"/>
          <w:i/>
          <w:iCs/>
          <w:kern w:val="2"/>
          <w:sz w:val="22"/>
          <w:szCs w:val="22"/>
          <w:lang w:val="en-GB"/>
        </w:rPr>
        <w:t>Podchasov</w:t>
      </w:r>
      <w:r>
        <w:rPr>
          <w:rStyle w:val="None"/>
          <w:kern w:val="2"/>
          <w:sz w:val="22"/>
          <w:szCs w:val="22"/>
          <w:lang w:val="en-GB"/>
        </w:rPr>
        <w:t xml:space="preserve"> — would itself suffice to establish a violation of Article 8 and would provide the appropriate foundation for the Article 17 analysis that follows.</w:t>
      </w:r>
    </w:p>
    <w:p w14:paraId="73BA81CD" w14:textId="77777777" w:rsidR="006517ED" w:rsidRDefault="006517ED" w:rsidP="006517ED">
      <w:pPr>
        <w:pStyle w:val="BodyB"/>
        <w:ind w:left="720"/>
        <w:rPr>
          <w:kern w:val="2"/>
          <w:sz w:val="22"/>
          <w:szCs w:val="22"/>
          <w:lang w:val="en-GB"/>
        </w:rPr>
      </w:pPr>
    </w:p>
    <w:p w14:paraId="55129A9F" w14:textId="77777777" w:rsidR="006517ED" w:rsidRDefault="006517ED" w:rsidP="006517ED">
      <w:pPr>
        <w:pStyle w:val="BodyB"/>
        <w:numPr>
          <w:ilvl w:val="0"/>
          <w:numId w:val="6"/>
        </w:numPr>
        <w:spacing w:after="160"/>
        <w:rPr>
          <w:b/>
          <w:bCs/>
          <w:sz w:val="22"/>
          <w:szCs w:val="22"/>
          <w:lang w:val="en-GB"/>
        </w:rPr>
      </w:pPr>
      <w:r>
        <w:rPr>
          <w:rStyle w:val="None"/>
          <w:b/>
          <w:bCs/>
          <w:kern w:val="2"/>
          <w:sz w:val="22"/>
          <w:szCs w:val="22"/>
          <w:lang w:val="en-GB"/>
        </w:rPr>
        <w:t>The use of commercial spyware amounts to a breach of Article 17</w:t>
      </w:r>
    </w:p>
    <w:p w14:paraId="45C2970F"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In order to engage Article 17 of the Convention against a state, an alleged violation must include the following elements: first, an act of a state that amounts to a “destruction” of a Convention right,</w:t>
      </w:r>
      <w:r>
        <w:rPr>
          <w:rStyle w:val="None"/>
          <w:kern w:val="2"/>
          <w:sz w:val="22"/>
          <w:szCs w:val="22"/>
          <w:vertAlign w:val="superscript"/>
          <w:lang w:val="en-GB"/>
        </w:rPr>
        <w:footnoteReference w:id="31"/>
      </w:r>
      <w:r>
        <w:rPr>
          <w:rStyle w:val="None"/>
          <w:kern w:val="2"/>
          <w:sz w:val="22"/>
          <w:szCs w:val="22"/>
          <w:lang w:val="en-GB"/>
        </w:rPr>
        <w:t xml:space="preserve"> and second, in line with this Court’s jurisprudence, a demonstration that the state intended to abuse its power by destroying said Convention right.</w:t>
      </w:r>
      <w:r>
        <w:rPr>
          <w:rStyle w:val="None"/>
          <w:kern w:val="2"/>
          <w:sz w:val="22"/>
          <w:szCs w:val="22"/>
          <w:vertAlign w:val="superscript"/>
          <w:lang w:val="en-GB"/>
        </w:rPr>
        <w:footnoteReference w:id="32"/>
      </w:r>
    </w:p>
    <w:p w14:paraId="5529F75C"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The Intervener hereinafter submits that the systematic and widespread use by a state of commercial spyware to target journalists, civil society, or others who criticise government policies amounts to a breach of Article 17 because it violates the state’s positive and negative Article 8 obligations and effectively destroys the rights enshrined in Article 8 of the Convention. </w:t>
      </w:r>
    </w:p>
    <w:p w14:paraId="46036741" w14:textId="77777777" w:rsidR="006517ED" w:rsidRDefault="006517ED" w:rsidP="006517ED">
      <w:pPr>
        <w:pStyle w:val="BodyB"/>
        <w:numPr>
          <w:ilvl w:val="0"/>
          <w:numId w:val="7"/>
        </w:numPr>
        <w:spacing w:after="160"/>
        <w:rPr>
          <w:i/>
          <w:iCs/>
          <w:sz w:val="22"/>
          <w:szCs w:val="22"/>
          <w:lang w:val="en-GB"/>
        </w:rPr>
      </w:pPr>
      <w:r>
        <w:rPr>
          <w:rStyle w:val="None"/>
          <w:i/>
          <w:iCs/>
          <w:kern w:val="2"/>
          <w:sz w:val="22"/>
          <w:szCs w:val="22"/>
          <w:lang w:val="en-GB"/>
        </w:rPr>
        <w:t>The use of commercial spyware amounts to a ‘destruction’ of the right to privacy and threatens democratic society</w:t>
      </w:r>
    </w:p>
    <w:p w14:paraId="0B9CF27F" w14:textId="2E7119CC"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The Intervener submits that the use of commercial spyware by a state amounts to </w:t>
      </w:r>
      <w:r w:rsidR="008B0738">
        <w:rPr>
          <w:rStyle w:val="None"/>
          <w:kern w:val="2"/>
          <w:sz w:val="22"/>
          <w:szCs w:val="22"/>
          <w:lang w:val="en-GB"/>
        </w:rPr>
        <w:t>the</w:t>
      </w:r>
      <w:r>
        <w:rPr>
          <w:rStyle w:val="None"/>
          <w:kern w:val="2"/>
          <w:sz w:val="22"/>
          <w:szCs w:val="22"/>
          <w:lang w:val="en-GB"/>
        </w:rPr>
        <w:t xml:space="preserve"> destruction of the right to privacy as protected under Article 8 of the Convention because its use exceeds the limitations provided for therein and impairs the essence of the right. The use of spyware cannot be brought within any of the ordinary exceptions of the Convention and therefore it, “go[es] beyond allegations of breaches of other provisions of the Convention and its Protocols”.</w:t>
      </w:r>
      <w:r>
        <w:rPr>
          <w:rStyle w:val="None"/>
          <w:kern w:val="2"/>
          <w:sz w:val="22"/>
          <w:szCs w:val="22"/>
          <w:vertAlign w:val="superscript"/>
          <w:lang w:val="en-GB"/>
        </w:rPr>
        <w:footnoteReference w:id="33"/>
      </w:r>
      <w:r>
        <w:rPr>
          <w:rStyle w:val="None"/>
          <w:kern w:val="2"/>
          <w:sz w:val="22"/>
          <w:szCs w:val="22"/>
          <w:lang w:val="en-GB"/>
        </w:rPr>
        <w:t xml:space="preserve"> </w:t>
      </w:r>
    </w:p>
    <w:p w14:paraId="1F0FA95C"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Judge Serghides considered the absolute protection of the essence of fundamental rights and the relationship with Article 17 in his separate opinion in </w:t>
      </w:r>
      <w:r>
        <w:rPr>
          <w:rStyle w:val="None"/>
          <w:i/>
          <w:iCs/>
          <w:kern w:val="2"/>
          <w:sz w:val="22"/>
          <w:szCs w:val="22"/>
          <w:lang w:val="en-GB"/>
        </w:rPr>
        <w:t>Regner v. Czech Republic</w:t>
      </w:r>
      <w:r>
        <w:rPr>
          <w:rStyle w:val="None"/>
          <w:kern w:val="2"/>
          <w:sz w:val="22"/>
          <w:szCs w:val="22"/>
          <w:lang w:val="en-GB"/>
        </w:rPr>
        <w:t xml:space="preserve">, writing: </w:t>
      </w:r>
    </w:p>
    <w:p w14:paraId="36E1033E" w14:textId="77777777" w:rsidR="006517ED" w:rsidRDefault="006517ED" w:rsidP="006517ED">
      <w:pPr>
        <w:pStyle w:val="BodyB"/>
        <w:spacing w:after="160"/>
        <w:ind w:left="1440"/>
        <w:jc w:val="both"/>
        <w:rPr>
          <w:rStyle w:val="None"/>
          <w:kern w:val="2"/>
          <w:lang w:val="en-GB"/>
        </w:rPr>
      </w:pPr>
      <w:r>
        <w:rPr>
          <w:rStyle w:val="None"/>
          <w:kern w:val="2"/>
          <w:sz w:val="22"/>
          <w:szCs w:val="22"/>
          <w:lang w:val="en-GB"/>
        </w:rPr>
        <w:lastRenderedPageBreak/>
        <w:t>Under no circumstances is the role of an exception to a right under the Convention to render the right ineffective, still less to extinguish it, and no one, including the State, can invoke an exception in order to destroy a right. This is Prohibited by Article 17 of the Convention, which provides: “Nothing in this Convention may be interpreted as implying for any State, group or person any right to engage in any activity or perform any act aimed at the destruction of any of the rights and freedoms set forth herein or at their limitation to a greater extent than is provided for in the Convention.”</w:t>
      </w:r>
      <w:r>
        <w:rPr>
          <w:rStyle w:val="None"/>
          <w:kern w:val="2"/>
          <w:sz w:val="22"/>
          <w:szCs w:val="22"/>
          <w:vertAlign w:val="superscript"/>
          <w:lang w:val="en-GB"/>
        </w:rPr>
        <w:footnoteReference w:id="34"/>
      </w:r>
      <w:r>
        <w:rPr>
          <w:rStyle w:val="None"/>
          <w:kern w:val="2"/>
          <w:sz w:val="22"/>
          <w:szCs w:val="22"/>
          <w:lang w:val="en-GB"/>
        </w:rPr>
        <w:t xml:space="preserve"> </w:t>
      </w:r>
    </w:p>
    <w:p w14:paraId="71462CAD" w14:textId="77777777" w:rsidR="006517ED" w:rsidRDefault="006517ED" w:rsidP="006517ED">
      <w:pPr>
        <w:pStyle w:val="BodyB"/>
        <w:numPr>
          <w:ilvl w:val="0"/>
          <w:numId w:val="2"/>
        </w:numPr>
        <w:spacing w:after="160"/>
        <w:rPr>
          <w:lang w:val="en-GB"/>
        </w:rPr>
      </w:pPr>
      <w:r>
        <w:rPr>
          <w:rStyle w:val="None"/>
          <w:kern w:val="2"/>
          <w:sz w:val="22"/>
          <w:szCs w:val="22"/>
          <w:lang w:val="en-GB"/>
        </w:rPr>
        <w:t xml:space="preserve">The Drafters of the Convention envisaged Article 17 as a bulwark against totalitarianism after the Second World War. The </w:t>
      </w:r>
      <w:r>
        <w:rPr>
          <w:rStyle w:val="None"/>
          <w:i/>
          <w:iCs/>
          <w:kern w:val="2"/>
          <w:sz w:val="22"/>
          <w:szCs w:val="22"/>
          <w:lang w:val="en-GB"/>
        </w:rPr>
        <w:t>travaux preparatoires</w:t>
      </w:r>
      <w:r>
        <w:rPr>
          <w:rStyle w:val="None"/>
          <w:kern w:val="2"/>
          <w:sz w:val="22"/>
          <w:szCs w:val="22"/>
          <w:lang w:val="en-GB"/>
        </w:rPr>
        <w:t xml:space="preserve"> of Article 17 clarify that the Drafters were concerned about states exploiting the power the Convention grants them to limit rights in certain circumstances and wanted to prevent states from further restricting the provisions.</w:t>
      </w:r>
      <w:r>
        <w:rPr>
          <w:rStyle w:val="None"/>
          <w:kern w:val="2"/>
          <w:sz w:val="22"/>
          <w:szCs w:val="22"/>
          <w:vertAlign w:val="superscript"/>
          <w:lang w:val="en-GB"/>
        </w:rPr>
        <w:footnoteReference w:id="35"/>
      </w:r>
    </w:p>
    <w:p w14:paraId="2C2CC9CE" w14:textId="77777777" w:rsidR="006517ED" w:rsidRDefault="006517ED" w:rsidP="006517ED">
      <w:pPr>
        <w:pStyle w:val="BodyB"/>
        <w:numPr>
          <w:ilvl w:val="0"/>
          <w:numId w:val="8"/>
        </w:numPr>
        <w:spacing w:after="160"/>
        <w:rPr>
          <w:i/>
          <w:iCs/>
          <w:sz w:val="22"/>
          <w:szCs w:val="22"/>
          <w:lang w:val="en-GB"/>
        </w:rPr>
      </w:pPr>
      <w:r>
        <w:rPr>
          <w:rStyle w:val="None"/>
          <w:i/>
          <w:iCs/>
          <w:kern w:val="2"/>
          <w:sz w:val="22"/>
          <w:szCs w:val="22"/>
          <w:lang w:val="en-GB"/>
        </w:rPr>
        <w:t xml:space="preserve">Commercial spyware and state intent to abuse power </w:t>
      </w:r>
    </w:p>
    <w:p w14:paraId="4D46BF79" w14:textId="77777777" w:rsidR="006517ED" w:rsidRDefault="006517ED" w:rsidP="006517ED">
      <w:pPr>
        <w:pStyle w:val="BodyB"/>
        <w:numPr>
          <w:ilvl w:val="0"/>
          <w:numId w:val="2"/>
        </w:numPr>
        <w:spacing w:after="160"/>
        <w:rPr>
          <w:sz w:val="22"/>
          <w:szCs w:val="22"/>
          <w:lang w:val="en-GB"/>
        </w:rPr>
      </w:pPr>
      <w:r>
        <w:rPr>
          <w:rStyle w:val="None"/>
          <w:color w:val="212121"/>
          <w:sz w:val="22"/>
          <w:szCs w:val="22"/>
          <w:lang w:val="en-GB"/>
        </w:rPr>
        <w:t>To the limited extent that the Court has commented on Article 17, it has focused on the intentionality of the state’s acts.</w:t>
      </w:r>
      <w:r>
        <w:rPr>
          <w:rStyle w:val="None"/>
          <w:color w:val="212121"/>
          <w:sz w:val="22"/>
          <w:szCs w:val="22"/>
          <w:vertAlign w:val="superscript"/>
          <w:lang w:val="en-GB"/>
        </w:rPr>
        <w:footnoteReference w:id="36"/>
      </w:r>
      <w:r>
        <w:rPr>
          <w:rStyle w:val="None"/>
          <w:color w:val="212121"/>
          <w:sz w:val="22"/>
          <w:szCs w:val="22"/>
          <w:lang w:val="en-GB"/>
        </w:rPr>
        <w:t xml:space="preserve"> For instance, in </w:t>
      </w:r>
      <w:r>
        <w:rPr>
          <w:rStyle w:val="None"/>
          <w:i/>
          <w:iCs/>
          <w:color w:val="212121"/>
          <w:sz w:val="22"/>
          <w:szCs w:val="22"/>
          <w:lang w:val="en-GB"/>
        </w:rPr>
        <w:t xml:space="preserve">Maggio v. Italy, </w:t>
      </w:r>
      <w:r>
        <w:rPr>
          <w:rStyle w:val="None"/>
          <w:color w:val="212121"/>
          <w:sz w:val="22"/>
          <w:szCs w:val="22"/>
          <w:lang w:val="en-GB"/>
        </w:rPr>
        <w:t>the Court found that in order to violate Article 17, the complaint must “go beyond” mere allegations of substantive provisions of the Convention.</w:t>
      </w:r>
      <w:r>
        <w:rPr>
          <w:rStyle w:val="None"/>
          <w:color w:val="212121"/>
          <w:sz w:val="22"/>
          <w:szCs w:val="22"/>
          <w:vertAlign w:val="superscript"/>
          <w:lang w:val="en-GB"/>
        </w:rPr>
        <w:footnoteReference w:id="37"/>
      </w:r>
      <w:r>
        <w:rPr>
          <w:rStyle w:val="None"/>
          <w:color w:val="212121"/>
          <w:sz w:val="22"/>
          <w:szCs w:val="22"/>
          <w:lang w:val="en-GB"/>
        </w:rPr>
        <w:t xml:space="preserve"> And in </w:t>
      </w:r>
      <w:r>
        <w:rPr>
          <w:rStyle w:val="None"/>
          <w:i/>
          <w:iCs/>
          <w:color w:val="212121"/>
          <w:sz w:val="22"/>
          <w:szCs w:val="22"/>
          <w:lang w:val="en-GB"/>
        </w:rPr>
        <w:t>Mozer v. the Republic of Moldova and Russia</w:t>
      </w:r>
      <w:r>
        <w:rPr>
          <w:rStyle w:val="None"/>
          <w:color w:val="212121"/>
          <w:sz w:val="22"/>
          <w:szCs w:val="22"/>
          <w:lang w:val="en-GB"/>
        </w:rPr>
        <w:t xml:space="preserve">, the Court found no breach of Article 17 on the basis that there was “no evidence to suggest that [the respondent State] </w:t>
      </w:r>
      <w:r>
        <w:rPr>
          <w:rStyle w:val="None"/>
          <w:i/>
          <w:iCs/>
          <w:color w:val="212121"/>
          <w:sz w:val="22"/>
          <w:szCs w:val="22"/>
          <w:lang w:val="en-GB"/>
        </w:rPr>
        <w:t>set out deliberately</w:t>
      </w:r>
      <w:r>
        <w:rPr>
          <w:rStyle w:val="None"/>
          <w:color w:val="212121"/>
          <w:sz w:val="22"/>
          <w:szCs w:val="22"/>
          <w:lang w:val="en-GB"/>
        </w:rPr>
        <w:t> to destroy any of the rights relied on by the applicant in the present case.”</w:t>
      </w:r>
      <w:r>
        <w:rPr>
          <w:rStyle w:val="None"/>
          <w:color w:val="212121"/>
          <w:sz w:val="22"/>
          <w:szCs w:val="22"/>
          <w:vertAlign w:val="superscript"/>
          <w:lang w:val="en-GB"/>
        </w:rPr>
        <w:footnoteReference w:id="38"/>
      </w:r>
      <w:r>
        <w:rPr>
          <w:rStyle w:val="None"/>
          <w:color w:val="212121"/>
          <w:sz w:val="22"/>
          <w:szCs w:val="22"/>
          <w:lang w:val="en-GB"/>
        </w:rPr>
        <w:t xml:space="preserve"> </w:t>
      </w:r>
    </w:p>
    <w:p w14:paraId="2E2C646B" w14:textId="3A71AA68" w:rsidR="006517ED" w:rsidRDefault="006517ED" w:rsidP="006517ED">
      <w:pPr>
        <w:pStyle w:val="BodyB"/>
        <w:numPr>
          <w:ilvl w:val="0"/>
          <w:numId w:val="2"/>
        </w:numPr>
        <w:spacing w:after="160"/>
        <w:rPr>
          <w:sz w:val="22"/>
          <w:szCs w:val="22"/>
          <w:lang w:val="en-GB"/>
        </w:rPr>
      </w:pPr>
      <w:r>
        <w:rPr>
          <w:rStyle w:val="None"/>
          <w:kern w:val="2"/>
          <w:sz w:val="22"/>
          <w:szCs w:val="22"/>
          <w:lang w:val="en-GB"/>
        </w:rPr>
        <w:t>Indeed, a key difficulty in finding states to be in violation of Article 17 has been the apparent requirement to prove intent, and ascribe bad faith to the respondent state, in contradiction to the (rebuttable) presumption of good faith amongst contracting-parties.</w:t>
      </w:r>
      <w:r>
        <w:rPr>
          <w:rStyle w:val="None"/>
          <w:kern w:val="2"/>
          <w:sz w:val="22"/>
          <w:szCs w:val="22"/>
          <w:vertAlign w:val="superscript"/>
          <w:lang w:val="en-GB"/>
        </w:rPr>
        <w:footnoteReference w:id="39"/>
      </w:r>
      <w:r>
        <w:rPr>
          <w:rStyle w:val="None"/>
          <w:kern w:val="2"/>
          <w:sz w:val="22"/>
          <w:szCs w:val="22"/>
          <w:lang w:val="en-GB"/>
        </w:rPr>
        <w:t xml:space="preserve"> In recent years, when analysing Article 18 violations, the Court has stopped applying the presumption of good faith.</w:t>
      </w:r>
      <w:r>
        <w:rPr>
          <w:rStyle w:val="None"/>
          <w:kern w:val="2"/>
          <w:sz w:val="22"/>
          <w:szCs w:val="22"/>
          <w:vertAlign w:val="superscript"/>
          <w:lang w:val="en-GB"/>
        </w:rPr>
        <w:footnoteReference w:id="40"/>
      </w:r>
      <w:r>
        <w:rPr>
          <w:rStyle w:val="None"/>
          <w:kern w:val="2"/>
          <w:sz w:val="22"/>
          <w:szCs w:val="22"/>
          <w:lang w:val="en-GB"/>
        </w:rPr>
        <w:t xml:space="preserve"> The Court did so because this presumption had, with narrow exceptions, entirely prevented the Court from even considering the possibility that respondent states had violated Article 18 by acting with an ulterior motive.</w:t>
      </w:r>
      <w:r>
        <w:rPr>
          <w:rStyle w:val="None"/>
          <w:kern w:val="2"/>
          <w:sz w:val="22"/>
          <w:szCs w:val="22"/>
          <w:vertAlign w:val="superscript"/>
          <w:lang w:val="en-GB"/>
        </w:rPr>
        <w:footnoteReference w:id="41"/>
      </w:r>
      <w:r>
        <w:rPr>
          <w:rStyle w:val="None"/>
          <w:kern w:val="2"/>
          <w:sz w:val="22"/>
          <w:szCs w:val="22"/>
          <w:lang w:val="en-GB"/>
        </w:rPr>
        <w:t xml:space="preserve"> This development in jurisprudence has allowed the Court to elucidate what it considers to be “bad faith”. Because Articles 17 and 18 are closely related and are </w:t>
      </w:r>
      <w:r w:rsidR="008B0738">
        <w:rPr>
          <w:rStyle w:val="None"/>
          <w:kern w:val="2"/>
          <w:sz w:val="22"/>
          <w:szCs w:val="22"/>
          <w:lang w:val="en-GB"/>
        </w:rPr>
        <w:t xml:space="preserve">both </w:t>
      </w:r>
      <w:r>
        <w:rPr>
          <w:rStyle w:val="None"/>
          <w:kern w:val="2"/>
          <w:sz w:val="22"/>
          <w:szCs w:val="22"/>
          <w:lang w:val="en-GB"/>
        </w:rPr>
        <w:t xml:space="preserve">concerned with the intentionality of the state’s acts, the Intervener suggests that the Court should apply the same framework when considering violations of Article 17, and carry out an objective assessment of the possibility that the respondent State has misused its power, without the presumption of good faith. </w:t>
      </w:r>
    </w:p>
    <w:p w14:paraId="78152014"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Even though the Court has not, thus far, had an opportunity to analyse the ‘intentionality of act’ under an alleged Article 17 violation, we draw elements from established Article 18 jurisprudence in relation to identification of necessary elements to demonstrate intentionality. In </w:t>
      </w:r>
      <w:r>
        <w:rPr>
          <w:rStyle w:val="None"/>
          <w:i/>
          <w:iCs/>
          <w:kern w:val="2"/>
          <w:sz w:val="22"/>
          <w:szCs w:val="22"/>
          <w:lang w:val="en-GB"/>
        </w:rPr>
        <w:t>Mershabivili v. Georgia</w:t>
      </w:r>
      <w:r>
        <w:rPr>
          <w:rStyle w:val="None"/>
          <w:kern w:val="2"/>
          <w:sz w:val="22"/>
          <w:szCs w:val="22"/>
          <w:lang w:val="en-GB"/>
        </w:rPr>
        <w:t xml:space="preserve">, the Court noted: </w:t>
      </w:r>
    </w:p>
    <w:p w14:paraId="5D7C9CD8" w14:textId="77777777" w:rsidR="006517ED" w:rsidRDefault="006517ED" w:rsidP="006517ED">
      <w:pPr>
        <w:pStyle w:val="BodyA"/>
        <w:ind w:left="1080"/>
        <w:rPr>
          <w:rStyle w:val="None"/>
          <w:rFonts w:ascii="Times New Roman" w:eastAsia="Times New Roman" w:hAnsi="Times New Roman" w:cs="Times New Roman"/>
          <w:kern w:val="2"/>
          <w:lang w:val="en-GB"/>
        </w:rPr>
      </w:pPr>
      <w:r>
        <w:rPr>
          <w:rStyle w:val="None"/>
          <w:rFonts w:ascii="Times New Roman" w:hAnsi="Times New Roman"/>
          <w:kern w:val="2"/>
          <w:lang w:val="en-GB"/>
        </w:rPr>
        <w:lastRenderedPageBreak/>
        <w:t>there is a considerable difference between cases in which the prescribed purpose was the one that truly actuated the authorities, though they also wanted to gain some other advantage, and cases in which the prescribed purpose, while present, was in reality simply a cover enabling the authorities to attain an extraneous purpose, which was the overriding factor of their efforts.</w:t>
      </w:r>
      <w:r>
        <w:rPr>
          <w:rStyle w:val="None"/>
          <w:rFonts w:ascii="Times New Roman" w:eastAsia="Times New Roman" w:hAnsi="Times New Roman" w:cs="Times New Roman"/>
          <w:kern w:val="2"/>
          <w:vertAlign w:val="superscript"/>
          <w:lang w:val="en-GB"/>
        </w:rPr>
        <w:footnoteReference w:id="42"/>
      </w:r>
    </w:p>
    <w:p w14:paraId="1099F4CC" w14:textId="77777777" w:rsidR="006517ED" w:rsidRDefault="006517ED" w:rsidP="006517ED">
      <w:pPr>
        <w:pStyle w:val="BodyA"/>
        <w:ind w:left="1080"/>
        <w:rPr>
          <w:i/>
          <w:iCs/>
          <w:lang w:val="en-GB"/>
        </w:rPr>
      </w:pPr>
    </w:p>
    <w:p w14:paraId="7D50DFEA"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Under the </w:t>
      </w:r>
      <w:r>
        <w:rPr>
          <w:rStyle w:val="None"/>
          <w:i/>
          <w:iCs/>
          <w:kern w:val="2"/>
          <w:sz w:val="22"/>
          <w:szCs w:val="22"/>
          <w:lang w:val="en-GB"/>
        </w:rPr>
        <w:t xml:space="preserve">Merashibivili </w:t>
      </w:r>
      <w:r>
        <w:rPr>
          <w:rStyle w:val="None"/>
          <w:kern w:val="2"/>
          <w:sz w:val="22"/>
          <w:szCs w:val="22"/>
          <w:lang w:val="en-GB"/>
        </w:rPr>
        <w:t xml:space="preserve">test, that the Court acknowledged that an ulterior motive can displace a legitimate motive is an important principle that the Intervener suggests could help guide the Court’s analysis in establishing intent for purposes of finding a violation of Article 17. </w:t>
      </w:r>
    </w:p>
    <w:p w14:paraId="22AB21D9"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To demonstrate a state’s intent to abuse its power one can consider a series of elements that are relevant to this assessment. In particular, the Intervener encourages the Court to consider the following elements for this assessment: i) the state’s awareness about the intrusiveness of the surveillance tool and its impacts; ii) the systematic use of commercial spyware against a specific group, such as journalists; iii) the context of a state’s broader persecution of journalists.</w:t>
      </w:r>
    </w:p>
    <w:p w14:paraId="1A3E55D4" w14:textId="77777777" w:rsidR="006517ED" w:rsidRDefault="006517ED" w:rsidP="006517ED">
      <w:pPr>
        <w:pStyle w:val="BodyA"/>
        <w:spacing w:after="160"/>
        <w:ind w:left="360"/>
        <w:rPr>
          <w:rStyle w:val="None"/>
          <w:rFonts w:ascii="Times New Roman" w:eastAsia="Times New Roman" w:hAnsi="Times New Roman" w:cs="Times New Roman"/>
          <w:kern w:val="2"/>
          <w:u w:val="single"/>
          <w:lang w:val="en-GB"/>
        </w:rPr>
      </w:pPr>
      <w:r>
        <w:rPr>
          <w:rStyle w:val="None"/>
          <w:rFonts w:ascii="Times New Roman" w:hAnsi="Times New Roman"/>
          <w:kern w:val="2"/>
          <w:u w:val="single"/>
          <w:lang w:val="en-GB"/>
        </w:rPr>
        <w:t>i) Knowledge of the intrusiveness of commercial spyware and its risks:</w:t>
      </w:r>
    </w:p>
    <w:p w14:paraId="646F713E"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The Intervener submits that any state choosing to use commercial spyware must have been aware of the risks relating to its use, because they have been widely established and publicly commented upon since 2016.</w:t>
      </w:r>
      <w:r>
        <w:rPr>
          <w:rStyle w:val="None"/>
          <w:kern w:val="2"/>
          <w:sz w:val="22"/>
          <w:szCs w:val="22"/>
          <w:vertAlign w:val="superscript"/>
          <w:lang w:val="en-GB"/>
        </w:rPr>
        <w:footnoteReference w:id="43"/>
      </w:r>
      <w:r>
        <w:rPr>
          <w:rStyle w:val="None"/>
          <w:kern w:val="2"/>
          <w:sz w:val="22"/>
          <w:szCs w:val="22"/>
          <w:lang w:val="en-GB"/>
        </w:rPr>
        <w:t xml:space="preserve"> Multiple reports have been published by regulatory authorities,</w:t>
      </w:r>
      <w:r>
        <w:rPr>
          <w:rStyle w:val="None"/>
          <w:kern w:val="2"/>
          <w:sz w:val="22"/>
          <w:szCs w:val="22"/>
          <w:vertAlign w:val="superscript"/>
          <w:lang w:val="en-GB"/>
        </w:rPr>
        <w:footnoteReference w:id="44"/>
      </w:r>
      <w:r>
        <w:rPr>
          <w:rStyle w:val="None"/>
          <w:kern w:val="2"/>
          <w:sz w:val="22"/>
          <w:szCs w:val="22"/>
          <w:lang w:val="en-GB"/>
        </w:rPr>
        <w:t xml:space="preserve"> international organs,</w:t>
      </w:r>
      <w:r>
        <w:rPr>
          <w:rStyle w:val="None"/>
          <w:kern w:val="2"/>
          <w:sz w:val="22"/>
          <w:szCs w:val="22"/>
          <w:vertAlign w:val="superscript"/>
          <w:lang w:val="en-GB"/>
        </w:rPr>
        <w:footnoteReference w:id="45"/>
      </w:r>
      <w:r>
        <w:rPr>
          <w:rStyle w:val="None"/>
          <w:kern w:val="2"/>
          <w:sz w:val="22"/>
          <w:szCs w:val="22"/>
          <w:lang w:val="en-GB"/>
        </w:rPr>
        <w:t xml:space="preserve"> academic experts,</w:t>
      </w:r>
      <w:r>
        <w:rPr>
          <w:rStyle w:val="None"/>
          <w:kern w:val="2"/>
          <w:sz w:val="22"/>
          <w:szCs w:val="22"/>
          <w:vertAlign w:val="superscript"/>
          <w:lang w:val="en-GB"/>
        </w:rPr>
        <w:footnoteReference w:id="46"/>
      </w:r>
      <w:r>
        <w:rPr>
          <w:rStyle w:val="None"/>
          <w:kern w:val="2"/>
          <w:sz w:val="22"/>
          <w:szCs w:val="22"/>
          <w:lang w:val="en-GB"/>
        </w:rPr>
        <w:t xml:space="preserve"> journalists,</w:t>
      </w:r>
      <w:r>
        <w:rPr>
          <w:rStyle w:val="None"/>
          <w:kern w:val="2"/>
          <w:sz w:val="22"/>
          <w:szCs w:val="22"/>
          <w:vertAlign w:val="superscript"/>
          <w:lang w:val="en-GB"/>
        </w:rPr>
        <w:footnoteReference w:id="47"/>
      </w:r>
      <w:r>
        <w:rPr>
          <w:rStyle w:val="None"/>
          <w:kern w:val="2"/>
          <w:sz w:val="22"/>
          <w:szCs w:val="22"/>
          <w:lang w:val="en-GB"/>
        </w:rPr>
        <w:t xml:space="preserve"> and civil society organisations.</w:t>
      </w:r>
      <w:r>
        <w:rPr>
          <w:rStyle w:val="None"/>
          <w:kern w:val="2"/>
          <w:sz w:val="22"/>
          <w:szCs w:val="22"/>
          <w:vertAlign w:val="superscript"/>
          <w:lang w:val="en-GB"/>
        </w:rPr>
        <w:footnoteReference w:id="48"/>
      </w:r>
      <w:r>
        <w:rPr>
          <w:rStyle w:val="None"/>
          <w:kern w:val="2"/>
          <w:sz w:val="22"/>
          <w:szCs w:val="22"/>
          <w:lang w:val="en-GB"/>
        </w:rPr>
        <w:t xml:space="preserve"> NSO Pegasus spyware also featured heavily in high profile incidents, including the 2018 murder of Saudi Arabian journalist Jamal Khashoggi, whose associates, including his wife, had their phones targeted by Pegasus before and after his death.</w:t>
      </w:r>
      <w:r>
        <w:rPr>
          <w:rStyle w:val="None"/>
          <w:kern w:val="2"/>
          <w:sz w:val="22"/>
          <w:szCs w:val="22"/>
          <w:vertAlign w:val="superscript"/>
          <w:lang w:val="en-GB"/>
        </w:rPr>
        <w:footnoteReference w:id="49"/>
      </w:r>
      <w:r>
        <w:rPr>
          <w:rStyle w:val="None"/>
          <w:kern w:val="2"/>
          <w:sz w:val="22"/>
          <w:szCs w:val="22"/>
          <w:lang w:val="en-GB"/>
        </w:rPr>
        <w:t xml:space="preserve"> Given this level of public scrutiny of commercial spyware, no state can legitimately claim that they were not aware of the risks pertaining to deployment of spyware.</w:t>
      </w:r>
    </w:p>
    <w:p w14:paraId="22583F73" w14:textId="77777777" w:rsidR="006517ED" w:rsidRDefault="006517ED" w:rsidP="006517ED">
      <w:pPr>
        <w:pStyle w:val="BodyB"/>
        <w:spacing w:after="160"/>
        <w:ind w:left="360"/>
        <w:rPr>
          <w:rStyle w:val="None"/>
          <w:kern w:val="2"/>
          <w:u w:val="single"/>
          <w:lang w:val="en-GB"/>
        </w:rPr>
      </w:pPr>
      <w:r>
        <w:rPr>
          <w:rStyle w:val="None"/>
          <w:kern w:val="2"/>
          <w:sz w:val="22"/>
          <w:szCs w:val="22"/>
          <w:u w:val="single"/>
          <w:lang w:val="en-GB"/>
        </w:rPr>
        <w:t xml:space="preserve">ii) The systematic and widespread surveillance against journalists </w:t>
      </w:r>
    </w:p>
    <w:p w14:paraId="2E86F625" w14:textId="77777777" w:rsidR="006517ED" w:rsidRDefault="006517ED" w:rsidP="006517ED">
      <w:pPr>
        <w:pStyle w:val="BodyB"/>
        <w:numPr>
          <w:ilvl w:val="0"/>
          <w:numId w:val="2"/>
        </w:numPr>
        <w:spacing w:after="160"/>
        <w:rPr>
          <w:lang w:val="en-GB"/>
        </w:rPr>
      </w:pPr>
      <w:r>
        <w:rPr>
          <w:rStyle w:val="None"/>
          <w:kern w:val="2"/>
          <w:sz w:val="22"/>
          <w:szCs w:val="22"/>
          <w:lang w:val="en-GB"/>
        </w:rPr>
        <w:t xml:space="preserve">The Court should further examine the use of commercial spyware in a wider context of systematic and widespread surveillance against journalists. </w:t>
      </w:r>
    </w:p>
    <w:p w14:paraId="0A9DBB57"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In the </w:t>
      </w:r>
      <w:r>
        <w:rPr>
          <w:rStyle w:val="None"/>
          <w:i/>
          <w:iCs/>
          <w:kern w:val="2"/>
          <w:sz w:val="22"/>
          <w:szCs w:val="22"/>
          <w:lang w:val="en-GB"/>
        </w:rPr>
        <w:t>Navalnyy s</w:t>
      </w:r>
      <w:r>
        <w:rPr>
          <w:rStyle w:val="None"/>
          <w:kern w:val="2"/>
          <w:sz w:val="22"/>
          <w:szCs w:val="22"/>
          <w:lang w:val="en-GB"/>
        </w:rPr>
        <w:t xml:space="preserve">eparate opinion, the Judges reflected on the importance of a repeated pattern to establish a violation of Article 17. This reasoning is in line with the existing jurisprudence on Article 17, in which no state has been found in violation of the article for one single incident, and with the </w:t>
      </w:r>
      <w:r>
        <w:rPr>
          <w:rStyle w:val="None"/>
          <w:i/>
          <w:iCs/>
          <w:kern w:val="2"/>
          <w:sz w:val="22"/>
          <w:szCs w:val="22"/>
          <w:lang w:val="en-GB"/>
        </w:rPr>
        <w:t>travaux</w:t>
      </w:r>
      <w:r>
        <w:rPr>
          <w:rStyle w:val="None"/>
          <w:kern w:val="2"/>
          <w:sz w:val="22"/>
          <w:szCs w:val="22"/>
          <w:lang w:val="en-GB"/>
        </w:rPr>
        <w:t xml:space="preserve">, which are largely concerned with a general shift towards totalitarianism. The three judges in </w:t>
      </w:r>
      <w:r>
        <w:rPr>
          <w:rStyle w:val="None"/>
          <w:i/>
          <w:iCs/>
          <w:kern w:val="2"/>
          <w:sz w:val="22"/>
          <w:szCs w:val="22"/>
          <w:lang w:val="en-GB"/>
        </w:rPr>
        <w:t>Navalnyy</w:t>
      </w:r>
      <w:r>
        <w:rPr>
          <w:rStyle w:val="None"/>
          <w:kern w:val="2"/>
          <w:sz w:val="22"/>
          <w:szCs w:val="22"/>
          <w:lang w:val="en-GB"/>
        </w:rPr>
        <w:t xml:space="preserve"> wrote: </w:t>
      </w:r>
    </w:p>
    <w:p w14:paraId="6028C089" w14:textId="77777777" w:rsidR="006517ED" w:rsidRDefault="006517ED" w:rsidP="006517ED">
      <w:pPr>
        <w:pStyle w:val="BodyB"/>
        <w:spacing w:after="160"/>
        <w:ind w:left="1440"/>
        <w:rPr>
          <w:rStyle w:val="None"/>
          <w:kern w:val="2"/>
          <w:lang w:val="en-GB"/>
        </w:rPr>
      </w:pPr>
      <w:r>
        <w:rPr>
          <w:rStyle w:val="None"/>
          <w:kern w:val="2"/>
          <w:sz w:val="22"/>
          <w:szCs w:val="22"/>
          <w:lang w:val="en-GB"/>
        </w:rPr>
        <w:lastRenderedPageBreak/>
        <w:t xml:space="preserve">…Article 17 can be understood as being directed at, not only – excessive – individual restrictions of the exercise of fundamental rights, but also a general system of limitations or actions going beyond what is necessary in a democratic regime. …it may be a succession of incidents which, taken one by one, appear to be isolated and straightforward violations of a Convention right, but which, taken together, show a greater problem of systemic violations ultimately aimed at the destruction of the rights and freedoms provided by the Convention. There lies the real abuse of rights or power: </w:t>
      </w:r>
      <w:r>
        <w:rPr>
          <w:rStyle w:val="None"/>
          <w:i/>
          <w:iCs/>
          <w:kern w:val="2"/>
          <w:sz w:val="22"/>
          <w:szCs w:val="22"/>
          <w:lang w:val="en-GB"/>
        </w:rPr>
        <w:t>a system of violations</w:t>
      </w:r>
      <w:r>
        <w:rPr>
          <w:rStyle w:val="None"/>
          <w:kern w:val="2"/>
          <w:sz w:val="22"/>
          <w:szCs w:val="22"/>
          <w:lang w:val="en-GB"/>
        </w:rPr>
        <w:t>.</w:t>
      </w:r>
      <w:r>
        <w:rPr>
          <w:rStyle w:val="None"/>
          <w:kern w:val="2"/>
          <w:sz w:val="22"/>
          <w:szCs w:val="22"/>
          <w:vertAlign w:val="superscript"/>
          <w:lang w:val="en-GB"/>
        </w:rPr>
        <w:footnoteReference w:id="50"/>
      </w:r>
    </w:p>
    <w:p w14:paraId="166F2FFF" w14:textId="77777777" w:rsidR="006517ED" w:rsidRDefault="006517ED" w:rsidP="006517ED">
      <w:pPr>
        <w:pStyle w:val="BodyB"/>
        <w:numPr>
          <w:ilvl w:val="0"/>
          <w:numId w:val="2"/>
        </w:numPr>
        <w:spacing w:after="160"/>
        <w:rPr>
          <w:lang w:val="en-GB"/>
        </w:rPr>
      </w:pPr>
      <w:r>
        <w:rPr>
          <w:rStyle w:val="None"/>
          <w:kern w:val="2"/>
          <w:sz w:val="22"/>
          <w:szCs w:val="22"/>
          <w:lang w:val="en-GB"/>
        </w:rPr>
        <w:t>Beyond the strict confines of international criminal law, the large number of victims and/or violations, as well as their systematic character, feature in multiple instances of human rights violations that have been characterised as serious in international practice.</w:t>
      </w:r>
      <w:r>
        <w:rPr>
          <w:rStyle w:val="None"/>
          <w:kern w:val="2"/>
          <w:sz w:val="22"/>
          <w:szCs w:val="22"/>
          <w:vertAlign w:val="superscript"/>
          <w:lang w:val="en-GB"/>
        </w:rPr>
        <w:footnoteReference w:id="51"/>
      </w:r>
      <w:r>
        <w:rPr>
          <w:rStyle w:val="None"/>
          <w:kern w:val="2"/>
          <w:sz w:val="22"/>
          <w:szCs w:val="22"/>
          <w:lang w:val="en-GB"/>
        </w:rPr>
        <w:t xml:space="preserve"> This Court has understood the ‘repetition of acts’ when examining ‘administrative practices’ to describe ‘an accumulation of identical or analogous breaches which are sufficiently numerous and inter-connected not to amount to merely isolated incidents or exceptions but to a pattern or system’.</w:t>
      </w:r>
      <w:r>
        <w:rPr>
          <w:rStyle w:val="None"/>
          <w:kern w:val="2"/>
          <w:sz w:val="22"/>
          <w:szCs w:val="22"/>
          <w:vertAlign w:val="superscript"/>
          <w:lang w:val="en-GB"/>
        </w:rPr>
        <w:footnoteReference w:id="52"/>
      </w:r>
      <w:r>
        <w:rPr>
          <w:rStyle w:val="None"/>
          <w:kern w:val="2"/>
          <w:sz w:val="22"/>
          <w:szCs w:val="22"/>
          <w:lang w:val="en-GB"/>
        </w:rPr>
        <w:t xml:space="preserve"> The widespread nature of acts is an element that has been also central in the pilot-judgment procedure even if it is no always a decisive factor of the serious nature of violation of this Convention.</w:t>
      </w:r>
      <w:r>
        <w:rPr>
          <w:rStyle w:val="None"/>
          <w:kern w:val="2"/>
          <w:sz w:val="22"/>
          <w:szCs w:val="22"/>
          <w:vertAlign w:val="superscript"/>
          <w:lang w:val="en-GB"/>
        </w:rPr>
        <w:footnoteReference w:id="53"/>
      </w:r>
      <w:r>
        <w:rPr>
          <w:rStyle w:val="None"/>
          <w:kern w:val="2"/>
          <w:sz w:val="22"/>
          <w:szCs w:val="22"/>
          <w:lang w:val="en-GB"/>
        </w:rPr>
        <w:t xml:space="preserve"> Therefore, the Intervener submits that these elements can be used to inform the Court’s analysis on whether there is a structural practice of surveillance of journalists in a country such as Azerbaijan.</w:t>
      </w:r>
    </w:p>
    <w:p w14:paraId="42911683"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The Intervener suggests that the Court analyses whether surveillance against journalists can be considered systematic and widespread. This Court has previously considered Azerbaijan’s surveillance of journalists. In </w:t>
      </w:r>
      <w:r>
        <w:rPr>
          <w:rStyle w:val="None"/>
          <w:i/>
          <w:iCs/>
          <w:kern w:val="2"/>
          <w:sz w:val="22"/>
          <w:szCs w:val="22"/>
          <w:lang w:val="en-GB"/>
        </w:rPr>
        <w:t xml:space="preserve">Ismayilova, </w:t>
      </w:r>
      <w:r>
        <w:rPr>
          <w:rStyle w:val="None"/>
          <w:kern w:val="2"/>
          <w:sz w:val="22"/>
          <w:szCs w:val="22"/>
          <w:lang w:val="en-GB"/>
        </w:rPr>
        <w:t>it found that the state violated its positive obligations under Article 10, and positive and negative obligations under Article 8 for its involvement in and failure to respond to a smear campaign involving sexual images and videos of a renowned journalist.</w:t>
      </w:r>
      <w:r>
        <w:rPr>
          <w:rStyle w:val="None"/>
          <w:kern w:val="2"/>
          <w:sz w:val="22"/>
          <w:szCs w:val="22"/>
          <w:vertAlign w:val="superscript"/>
          <w:lang w:val="en-GB"/>
        </w:rPr>
        <w:footnoteReference w:id="54"/>
      </w:r>
      <w:r>
        <w:rPr>
          <w:rStyle w:val="None"/>
          <w:kern w:val="2"/>
          <w:sz w:val="22"/>
          <w:szCs w:val="22"/>
          <w:lang w:val="en-GB"/>
        </w:rPr>
        <w:t xml:space="preserve"> Although not the primary issue considered in the case, the Court recognised the “carefully planned” surveillance operation facilitated the state’s human rights abuses apparently aimed at intimidating and silencing Ismayilova.</w:t>
      </w:r>
      <w:r>
        <w:rPr>
          <w:rStyle w:val="None"/>
          <w:kern w:val="2"/>
          <w:sz w:val="22"/>
          <w:szCs w:val="22"/>
          <w:vertAlign w:val="superscript"/>
          <w:lang w:val="en-GB"/>
        </w:rPr>
        <w:footnoteReference w:id="55"/>
      </w:r>
      <w:r>
        <w:rPr>
          <w:rStyle w:val="None"/>
          <w:kern w:val="2"/>
          <w:sz w:val="22"/>
          <w:szCs w:val="22"/>
          <w:lang w:val="en-GB"/>
        </w:rPr>
        <w:t xml:space="preserve"> After the Court’s ruling in 2019, Ismayilova left Azerbaijan for Turkey in 2021. However, she later learned that her and her associates’ phones had been infected with Pegasus spyware for at least three years before her departure.</w:t>
      </w:r>
      <w:r>
        <w:rPr>
          <w:rStyle w:val="None"/>
          <w:kern w:val="2"/>
          <w:sz w:val="22"/>
          <w:szCs w:val="22"/>
          <w:vertAlign w:val="superscript"/>
          <w:lang w:val="en-GB"/>
        </w:rPr>
        <w:footnoteReference w:id="56"/>
      </w:r>
      <w:r>
        <w:rPr>
          <w:rStyle w:val="None"/>
          <w:kern w:val="2"/>
          <w:sz w:val="22"/>
          <w:szCs w:val="22"/>
          <w:lang w:val="en-GB"/>
        </w:rPr>
        <w:t xml:space="preserve">  </w:t>
      </w:r>
    </w:p>
    <w:p w14:paraId="5319875D" w14:textId="77777777" w:rsidR="006517ED" w:rsidRDefault="006517ED" w:rsidP="006517ED">
      <w:pPr>
        <w:pStyle w:val="BodyA"/>
        <w:numPr>
          <w:ilvl w:val="0"/>
          <w:numId w:val="2"/>
        </w:numPr>
        <w:spacing w:after="160"/>
        <w:rPr>
          <w:rFonts w:ascii="Times New Roman" w:hAnsi="Times New Roman"/>
          <w:lang w:val="en-GB"/>
        </w:rPr>
      </w:pPr>
      <w:r>
        <w:rPr>
          <w:rStyle w:val="None"/>
          <w:rFonts w:ascii="Times New Roman" w:hAnsi="Times New Roman"/>
          <w:kern w:val="2"/>
          <w:lang w:val="en-GB"/>
        </w:rPr>
        <w:t xml:space="preserve">Previously, in 2015, the Court similarly found that Azerbaijan violated journalists Uzeyir Jafarov’s procedural rights under Article 3 of the Convention for failure to conduct an effective criminal investigation into a violent attack that left him injured, despite Jafarov’s </w:t>
      </w:r>
      <w:r>
        <w:rPr>
          <w:rStyle w:val="None"/>
          <w:rFonts w:ascii="Times New Roman" w:hAnsi="Times New Roman"/>
          <w:kern w:val="2"/>
          <w:lang w:val="en-GB"/>
        </w:rPr>
        <w:lastRenderedPageBreak/>
        <w:t>ability to identify a police officer as one of the alleged assailants.</w:t>
      </w:r>
      <w:r>
        <w:rPr>
          <w:rStyle w:val="None"/>
          <w:rFonts w:ascii="Times New Roman" w:eastAsia="Times New Roman" w:hAnsi="Times New Roman" w:cs="Times New Roman"/>
          <w:kern w:val="2"/>
          <w:vertAlign w:val="superscript"/>
          <w:lang w:val="en-GB"/>
        </w:rPr>
        <w:footnoteReference w:id="57"/>
      </w:r>
      <w:r>
        <w:rPr>
          <w:rStyle w:val="None"/>
          <w:rFonts w:ascii="Times New Roman" w:hAnsi="Times New Roman"/>
          <w:kern w:val="2"/>
          <w:lang w:val="en-GB"/>
        </w:rPr>
        <w:t xml:space="preserve"> Like Ismayilova would, approximately one year after the ruling, Jafarov learned that he had been targeted by malware that relays images of the victim’s screen back to the attacker.</w:t>
      </w:r>
      <w:r>
        <w:rPr>
          <w:rStyle w:val="None"/>
          <w:rFonts w:ascii="Times New Roman" w:eastAsia="Times New Roman" w:hAnsi="Times New Roman" w:cs="Times New Roman"/>
          <w:kern w:val="2"/>
          <w:vertAlign w:val="superscript"/>
          <w:lang w:val="en-GB"/>
        </w:rPr>
        <w:footnoteReference w:id="58"/>
      </w:r>
      <w:r>
        <w:rPr>
          <w:rStyle w:val="None"/>
          <w:rFonts w:ascii="Times New Roman" w:hAnsi="Times New Roman"/>
          <w:kern w:val="2"/>
          <w:lang w:val="en-GB"/>
        </w:rPr>
        <w:t xml:space="preserve"> </w:t>
      </w:r>
    </w:p>
    <w:p w14:paraId="156AEA95" w14:textId="77777777" w:rsidR="006517ED" w:rsidRDefault="006517ED" w:rsidP="006517ED">
      <w:pPr>
        <w:pStyle w:val="BodyA"/>
        <w:numPr>
          <w:ilvl w:val="0"/>
          <w:numId w:val="2"/>
        </w:numPr>
        <w:spacing w:after="160"/>
        <w:rPr>
          <w:rFonts w:ascii="Times New Roman" w:hAnsi="Times New Roman"/>
          <w:lang w:val="en-GB"/>
        </w:rPr>
      </w:pPr>
      <w:r>
        <w:rPr>
          <w:rStyle w:val="None"/>
          <w:rFonts w:ascii="Times New Roman" w:hAnsi="Times New Roman"/>
          <w:kern w:val="2"/>
          <w:lang w:val="en-GB"/>
        </w:rPr>
        <w:t>Currently pending before the court are four challenges regarding Azerbaijan’s use of Pegasus spyware against human rights defenders.</w:t>
      </w:r>
      <w:r>
        <w:rPr>
          <w:rStyle w:val="None"/>
          <w:rFonts w:ascii="Times New Roman" w:eastAsia="Times New Roman" w:hAnsi="Times New Roman" w:cs="Times New Roman"/>
          <w:kern w:val="2"/>
          <w:vertAlign w:val="superscript"/>
          <w:lang w:val="en-GB"/>
        </w:rPr>
        <w:footnoteReference w:id="59"/>
      </w:r>
      <w:r>
        <w:rPr>
          <w:rStyle w:val="None"/>
          <w:rFonts w:ascii="Times New Roman" w:hAnsi="Times New Roman"/>
          <w:kern w:val="2"/>
          <w:lang w:val="en-GB"/>
        </w:rPr>
        <w:t xml:space="preserve"> Reporting from Amnesty International, Access Now, and Citizen Lab suggests that the Azerbaijani government is responsible for the deployment of multiple “clusters” of Pegasus infections within Armenia.</w:t>
      </w:r>
      <w:r>
        <w:rPr>
          <w:rStyle w:val="None"/>
          <w:rFonts w:ascii="Times New Roman" w:eastAsia="Times New Roman" w:hAnsi="Times New Roman" w:cs="Times New Roman"/>
          <w:kern w:val="2"/>
          <w:vertAlign w:val="superscript"/>
          <w:lang w:val="en-GB"/>
        </w:rPr>
        <w:footnoteReference w:id="60"/>
      </w:r>
      <w:r>
        <w:rPr>
          <w:rStyle w:val="None"/>
          <w:rFonts w:ascii="Times New Roman" w:hAnsi="Times New Roman"/>
          <w:kern w:val="2"/>
          <w:lang w:val="en-GB"/>
        </w:rPr>
        <w:t xml:space="preserve"> The first “cluster” occurred in 2020 and relates to the 2020 Nagorno-Karabakh conflict between Azerbaijan and Armenia, and the second in 2022 as the two countries engaged in both escalating tensions and peace talks.</w:t>
      </w:r>
      <w:r>
        <w:rPr>
          <w:rStyle w:val="None"/>
          <w:rFonts w:ascii="Times New Roman" w:eastAsia="Times New Roman" w:hAnsi="Times New Roman" w:cs="Times New Roman"/>
          <w:kern w:val="2"/>
          <w:vertAlign w:val="superscript"/>
          <w:lang w:val="en-GB"/>
        </w:rPr>
        <w:footnoteReference w:id="61"/>
      </w:r>
      <w:r>
        <w:rPr>
          <w:rStyle w:val="None"/>
          <w:rFonts w:ascii="Times New Roman" w:hAnsi="Times New Roman"/>
          <w:kern w:val="2"/>
          <w:lang w:val="en-GB"/>
        </w:rPr>
        <w:t xml:space="preserve"> Additionally, the Pegasus Project identified over 1,000 phone numbers infected with Pegasus spyware within Azerbaijan, including those of  media workers, human rights defenders, lawyers, opposition figures, and academics - at least 200 of these numbers belonged to journalists.</w:t>
      </w:r>
      <w:r>
        <w:rPr>
          <w:rStyle w:val="None"/>
          <w:rFonts w:ascii="Times New Roman" w:eastAsia="Times New Roman" w:hAnsi="Times New Roman" w:cs="Times New Roman"/>
          <w:kern w:val="2"/>
          <w:vertAlign w:val="superscript"/>
          <w:lang w:val="en-GB"/>
        </w:rPr>
        <w:footnoteReference w:id="62"/>
      </w:r>
      <w:r>
        <w:rPr>
          <w:rStyle w:val="None"/>
          <w:rFonts w:ascii="Times New Roman" w:hAnsi="Times New Roman"/>
          <w:kern w:val="2"/>
          <w:lang w:val="en-GB"/>
        </w:rPr>
        <w:t xml:space="preserve"> </w:t>
      </w:r>
    </w:p>
    <w:p w14:paraId="41B609E8" w14:textId="77777777" w:rsidR="006517ED" w:rsidRDefault="006517ED" w:rsidP="006517ED">
      <w:pPr>
        <w:pStyle w:val="BodyA"/>
        <w:numPr>
          <w:ilvl w:val="0"/>
          <w:numId w:val="2"/>
        </w:numPr>
        <w:spacing w:after="160"/>
        <w:rPr>
          <w:rFonts w:ascii="Times New Roman" w:hAnsi="Times New Roman"/>
          <w:lang w:val="en-GB"/>
        </w:rPr>
      </w:pPr>
      <w:r>
        <w:rPr>
          <w:rStyle w:val="None"/>
          <w:rFonts w:ascii="Times New Roman" w:hAnsi="Times New Roman"/>
          <w:kern w:val="2"/>
          <w:lang w:val="en-GB"/>
        </w:rPr>
        <w:t>Azerbaijan’s surveillance of journalists and researchers has similarly been recognised by the Council of Europe,</w:t>
      </w:r>
      <w:r>
        <w:rPr>
          <w:rStyle w:val="None"/>
          <w:rFonts w:ascii="Times New Roman" w:eastAsia="Times New Roman" w:hAnsi="Times New Roman" w:cs="Times New Roman"/>
          <w:kern w:val="2"/>
          <w:vertAlign w:val="superscript"/>
          <w:lang w:val="en-GB"/>
        </w:rPr>
        <w:footnoteReference w:id="63"/>
      </w:r>
      <w:r>
        <w:rPr>
          <w:rStyle w:val="None"/>
          <w:rFonts w:ascii="Times New Roman" w:hAnsi="Times New Roman"/>
          <w:kern w:val="2"/>
          <w:lang w:val="en-GB"/>
        </w:rPr>
        <w:t xml:space="preserve"> the UN Special Rapporteur on the situation of human rights defenders,</w:t>
      </w:r>
      <w:r>
        <w:rPr>
          <w:rStyle w:val="None"/>
          <w:rFonts w:ascii="Times New Roman" w:eastAsia="Times New Roman" w:hAnsi="Times New Roman" w:cs="Times New Roman"/>
          <w:kern w:val="2"/>
          <w:vertAlign w:val="superscript"/>
          <w:lang w:val="en-GB"/>
        </w:rPr>
        <w:footnoteReference w:id="64"/>
      </w:r>
      <w:r>
        <w:rPr>
          <w:rStyle w:val="None"/>
          <w:rFonts w:ascii="Times New Roman" w:hAnsi="Times New Roman"/>
          <w:kern w:val="2"/>
          <w:lang w:val="en-GB"/>
        </w:rPr>
        <w:t xml:space="preserve"> and other UN independent experts,</w:t>
      </w:r>
      <w:r>
        <w:rPr>
          <w:rStyle w:val="None"/>
          <w:rFonts w:ascii="Times New Roman" w:eastAsia="Times New Roman" w:hAnsi="Times New Roman" w:cs="Times New Roman"/>
          <w:kern w:val="2"/>
          <w:vertAlign w:val="superscript"/>
          <w:lang w:val="en-GB"/>
        </w:rPr>
        <w:footnoteReference w:id="65"/>
      </w:r>
      <w:r>
        <w:rPr>
          <w:rStyle w:val="None"/>
          <w:rFonts w:ascii="Times New Roman" w:hAnsi="Times New Roman"/>
          <w:kern w:val="2"/>
          <w:lang w:val="en-GB"/>
        </w:rPr>
        <w:t xml:space="preserve"> including the UN Working Group on Arbitrary Detention.</w:t>
      </w:r>
      <w:r>
        <w:rPr>
          <w:rStyle w:val="None"/>
          <w:rFonts w:ascii="Times New Roman" w:eastAsia="Times New Roman" w:hAnsi="Times New Roman" w:cs="Times New Roman"/>
          <w:kern w:val="2"/>
          <w:vertAlign w:val="superscript"/>
          <w:lang w:val="en-GB"/>
        </w:rPr>
        <w:footnoteReference w:id="66"/>
      </w:r>
    </w:p>
    <w:p w14:paraId="7FA6D076"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Surveillance of journalists as described above cannot be said to be mere “isolated incidents” but are sufficiently numerous as to represent a system of violations, and the Intervener encourages the Court to consider this pattern in undertaking its analysis of intent under Article 17. </w:t>
      </w:r>
    </w:p>
    <w:p w14:paraId="3D982E23" w14:textId="77777777" w:rsidR="006517ED" w:rsidRDefault="006517ED" w:rsidP="006517ED">
      <w:pPr>
        <w:pStyle w:val="BodyB"/>
        <w:spacing w:after="160"/>
        <w:rPr>
          <w:rStyle w:val="None"/>
          <w:kern w:val="2"/>
          <w:u w:val="single"/>
          <w:lang w:val="en-GB"/>
        </w:rPr>
      </w:pPr>
      <w:r>
        <w:rPr>
          <w:rStyle w:val="None"/>
          <w:kern w:val="2"/>
          <w:sz w:val="22"/>
          <w:szCs w:val="22"/>
          <w:u w:val="single"/>
          <w:lang w:val="en-GB"/>
        </w:rPr>
        <w:t xml:space="preserve">iii) Article 17 should be considered in the context of a state’s broader persecution of journalists and other totalitarian practices </w:t>
      </w:r>
    </w:p>
    <w:p w14:paraId="122EC484" w14:textId="77777777" w:rsidR="006517ED" w:rsidRDefault="006517ED" w:rsidP="006517ED">
      <w:pPr>
        <w:pStyle w:val="BodyB"/>
        <w:numPr>
          <w:ilvl w:val="0"/>
          <w:numId w:val="2"/>
        </w:numPr>
        <w:spacing w:after="160"/>
        <w:rPr>
          <w:lang w:val="en-GB"/>
        </w:rPr>
      </w:pPr>
      <w:r>
        <w:rPr>
          <w:rStyle w:val="None"/>
          <w:kern w:val="2"/>
          <w:sz w:val="22"/>
          <w:szCs w:val="22"/>
          <w:lang w:val="en-GB"/>
        </w:rPr>
        <w:t>The Court has identified the press as “public watchdogs” as early as 1985 in Barthold v. Germany.</w:t>
      </w:r>
      <w:r>
        <w:rPr>
          <w:rStyle w:val="None"/>
          <w:kern w:val="2"/>
          <w:sz w:val="22"/>
          <w:szCs w:val="22"/>
          <w:vertAlign w:val="superscript"/>
          <w:lang w:val="en-GB"/>
        </w:rPr>
        <w:footnoteReference w:id="67"/>
      </w:r>
      <w:r>
        <w:rPr>
          <w:rStyle w:val="None"/>
          <w:kern w:val="2"/>
          <w:sz w:val="22"/>
          <w:szCs w:val="22"/>
          <w:lang w:val="en-GB"/>
        </w:rPr>
        <w:t xml:space="preserve"> It has reiterated this opinion time and time again, writing: </w:t>
      </w:r>
    </w:p>
    <w:p w14:paraId="2735C097" w14:textId="77777777" w:rsidR="006517ED" w:rsidRDefault="006517ED" w:rsidP="006517ED">
      <w:pPr>
        <w:pStyle w:val="Default"/>
        <w:suppressAutoHyphens/>
        <w:spacing w:before="0" w:after="240" w:line="240" w:lineRule="auto"/>
        <w:ind w:left="1350"/>
        <w:jc w:val="both"/>
        <w:rPr>
          <w:rStyle w:val="None"/>
          <w:rFonts w:ascii="Times New Roman" w:eastAsia="Times New Roman" w:hAnsi="Times New Roman" w:cs="Times New Roman"/>
          <w:color w:val="333333"/>
          <w:shd w:val="clear" w:color="auto" w:fill="FFFFFF"/>
          <w:lang w:val="en-GB"/>
        </w:rPr>
      </w:pPr>
      <w:r>
        <w:rPr>
          <w:rStyle w:val="None"/>
          <w:rFonts w:ascii="Times New Roman" w:hAnsi="Times New Roman"/>
          <w:color w:val="333333"/>
          <w:sz w:val="22"/>
          <w:szCs w:val="22"/>
          <w:shd w:val="clear" w:color="auto" w:fill="FFFFFF"/>
          <w:lang w:val="en-GB"/>
        </w:rPr>
        <w:t xml:space="preserve">Moreover, a constant thread running through the Court’s case-law is the insistence on the essential role of a free press in ensuring the proper functioning of a democratic society. Although the press must not overstep certain bounds, regarding in particular protection of the reputation and rights of others and the need to prevent the disclosure of confidential information, its duty is nevertheless to impart – in a manner consistent with its obligations and responsibilities – information and ideas on all matters of public interest, including those relating to the administration of justice. Not only does the press </w:t>
      </w:r>
      <w:r>
        <w:rPr>
          <w:rStyle w:val="None"/>
          <w:rFonts w:ascii="Times New Roman" w:hAnsi="Times New Roman"/>
          <w:color w:val="333333"/>
          <w:sz w:val="22"/>
          <w:szCs w:val="22"/>
          <w:shd w:val="clear" w:color="auto" w:fill="FFFFFF"/>
          <w:lang w:val="en-GB"/>
        </w:rPr>
        <w:lastRenderedPageBreak/>
        <w:t>have the task of imparting such information and ideas; the public also has a right to receive them. Were it otherwise, the press would be unable to play its vital role of “public watchdog”.</w:t>
      </w:r>
      <w:r>
        <w:rPr>
          <w:rStyle w:val="None"/>
          <w:rFonts w:ascii="Times New Roman" w:eastAsia="Times New Roman" w:hAnsi="Times New Roman" w:cs="Times New Roman"/>
          <w:color w:val="333333"/>
          <w:sz w:val="22"/>
          <w:szCs w:val="22"/>
          <w:shd w:val="clear" w:color="auto" w:fill="FFFFFF"/>
          <w:vertAlign w:val="superscript"/>
          <w:lang w:val="en-GB"/>
        </w:rPr>
        <w:footnoteReference w:id="68"/>
      </w:r>
      <w:r>
        <w:rPr>
          <w:rStyle w:val="None"/>
          <w:rFonts w:ascii="Times New Roman" w:hAnsi="Times New Roman"/>
          <w:color w:val="333333"/>
          <w:sz w:val="22"/>
          <w:szCs w:val="22"/>
          <w:shd w:val="clear" w:color="auto" w:fill="FFFFFF"/>
          <w:lang w:val="en-GB"/>
        </w:rPr>
        <w:t xml:space="preserve"> </w:t>
      </w:r>
    </w:p>
    <w:p w14:paraId="542A2304" w14:textId="14B22550" w:rsidR="006517ED" w:rsidRDefault="006517ED" w:rsidP="006517ED">
      <w:pPr>
        <w:pStyle w:val="BodyB"/>
        <w:numPr>
          <w:ilvl w:val="0"/>
          <w:numId w:val="2"/>
        </w:numPr>
        <w:spacing w:after="160"/>
        <w:rPr>
          <w:lang w:val="en-GB"/>
        </w:rPr>
      </w:pPr>
      <w:r>
        <w:rPr>
          <w:rStyle w:val="None"/>
          <w:kern w:val="2"/>
          <w:sz w:val="22"/>
          <w:szCs w:val="22"/>
          <w:lang w:val="en-GB"/>
        </w:rPr>
        <w:t xml:space="preserve">Azerbaijan has a record of restricting freedom of expression and the press. As of mid-2025 at least 25 journalists and media workers </w:t>
      </w:r>
      <w:r w:rsidR="008F7171">
        <w:rPr>
          <w:rStyle w:val="None"/>
          <w:kern w:val="2"/>
          <w:sz w:val="22"/>
          <w:szCs w:val="22"/>
          <w:lang w:val="en-GB"/>
        </w:rPr>
        <w:t>are</w:t>
      </w:r>
      <w:r>
        <w:rPr>
          <w:rStyle w:val="None"/>
          <w:kern w:val="2"/>
          <w:sz w:val="22"/>
          <w:szCs w:val="22"/>
          <w:lang w:val="en-GB"/>
        </w:rPr>
        <w:t xml:space="preserve"> imprisoned in Azerbaijan, up from eleven in 2015.</w:t>
      </w:r>
      <w:r>
        <w:rPr>
          <w:rStyle w:val="None"/>
          <w:kern w:val="2"/>
          <w:sz w:val="22"/>
          <w:szCs w:val="22"/>
          <w:vertAlign w:val="superscript"/>
          <w:lang w:val="en-GB"/>
        </w:rPr>
        <w:footnoteReference w:id="69"/>
      </w:r>
      <w:r>
        <w:rPr>
          <w:rStyle w:val="None"/>
          <w:kern w:val="2"/>
          <w:sz w:val="22"/>
          <w:szCs w:val="22"/>
          <w:lang w:val="en-GB"/>
        </w:rPr>
        <w:t xml:space="preserve"> Twenty of these journalists have been arrested since 2023. In December 2025, Azerbaijan began the trial of twelve Meydan TV affiliated journalists on charges linked to alleged receipt of Western donor funding, currency smuggling, money laundering, and tax evasion.</w:t>
      </w:r>
      <w:r>
        <w:rPr>
          <w:rStyle w:val="None"/>
          <w:kern w:val="2"/>
          <w:sz w:val="22"/>
          <w:szCs w:val="22"/>
          <w:vertAlign w:val="superscript"/>
          <w:lang w:val="en-GB"/>
        </w:rPr>
        <w:footnoteReference w:id="70"/>
      </w:r>
      <w:r>
        <w:rPr>
          <w:rStyle w:val="None"/>
          <w:kern w:val="2"/>
          <w:sz w:val="22"/>
          <w:szCs w:val="22"/>
          <w:lang w:val="en-GB"/>
        </w:rPr>
        <w:t xml:space="preserve"> The women among this group of journalists report facing sexual violence in detention.</w:t>
      </w:r>
      <w:r>
        <w:rPr>
          <w:rStyle w:val="None"/>
          <w:kern w:val="2"/>
          <w:sz w:val="22"/>
          <w:szCs w:val="22"/>
          <w:vertAlign w:val="superscript"/>
          <w:lang w:val="en-GB"/>
        </w:rPr>
        <w:footnoteReference w:id="71"/>
      </w:r>
      <w:r>
        <w:rPr>
          <w:rStyle w:val="None"/>
          <w:kern w:val="2"/>
          <w:sz w:val="22"/>
          <w:szCs w:val="22"/>
          <w:lang w:val="en-GB"/>
        </w:rPr>
        <w:t xml:space="preserve"> Earlier in the year, seven investigative journalists focused on anti-corruption were sentence up to nine years in prison on similar charges - these charges were upheld in April 2026 after the Supreme Court dismissed a Cassation Appeal.</w:t>
      </w:r>
      <w:r>
        <w:rPr>
          <w:rStyle w:val="None"/>
          <w:kern w:val="2"/>
          <w:sz w:val="22"/>
          <w:szCs w:val="22"/>
          <w:vertAlign w:val="superscript"/>
          <w:lang w:val="en-GB"/>
        </w:rPr>
        <w:footnoteReference w:id="72"/>
      </w:r>
      <w:r>
        <w:rPr>
          <w:rStyle w:val="None"/>
          <w:kern w:val="2"/>
          <w:sz w:val="22"/>
          <w:szCs w:val="22"/>
          <w:lang w:val="en-GB"/>
        </w:rPr>
        <w:t xml:space="preserve"> Azerbaijan has simultaneously restricted the work of foreign news outlets and has charged exiled journalists with major crimes in absentia.</w:t>
      </w:r>
      <w:r>
        <w:rPr>
          <w:rStyle w:val="None"/>
          <w:kern w:val="2"/>
          <w:sz w:val="22"/>
          <w:szCs w:val="22"/>
          <w:vertAlign w:val="superscript"/>
          <w:lang w:val="en-GB"/>
        </w:rPr>
        <w:footnoteReference w:id="73"/>
      </w:r>
      <w:r>
        <w:rPr>
          <w:rStyle w:val="None"/>
          <w:kern w:val="2"/>
          <w:sz w:val="22"/>
          <w:szCs w:val="22"/>
          <w:lang w:val="en-GB"/>
        </w:rPr>
        <w:t xml:space="preserve"> </w:t>
      </w:r>
    </w:p>
    <w:p w14:paraId="6F8E3933"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This crackdown against journalists occurs in the context of a broader and steep decline in respect for human rights. In January 2024, the government threatened to withdraw from the Council of Europe and the ECHR, after the council’s Parliamentary Assembly suspended Azerbaijan’s credentials due to insufficient cooperation and a worsening human rights record.</w:t>
      </w:r>
      <w:r>
        <w:rPr>
          <w:rStyle w:val="None"/>
          <w:kern w:val="2"/>
          <w:sz w:val="22"/>
          <w:szCs w:val="22"/>
          <w:vertAlign w:val="superscript"/>
          <w:lang w:val="en-GB"/>
        </w:rPr>
        <w:footnoteReference w:id="74"/>
      </w:r>
      <w:r>
        <w:rPr>
          <w:rStyle w:val="None"/>
          <w:kern w:val="2"/>
          <w:sz w:val="22"/>
          <w:szCs w:val="22"/>
          <w:lang w:val="en-GB"/>
        </w:rPr>
        <w:t xml:space="preserve"> Authorities restricted monitoring of February’s snap presidential election, which was criticized by observers for lacking genuine competition and was won by the incumbent.</w:t>
      </w:r>
      <w:r>
        <w:rPr>
          <w:rStyle w:val="None"/>
          <w:kern w:val="2"/>
          <w:sz w:val="22"/>
          <w:szCs w:val="22"/>
          <w:vertAlign w:val="superscript"/>
          <w:lang w:val="en-GB"/>
        </w:rPr>
        <w:footnoteReference w:id="75"/>
      </w:r>
      <w:r>
        <w:rPr>
          <w:rStyle w:val="None"/>
          <w:kern w:val="2"/>
          <w:sz w:val="22"/>
          <w:szCs w:val="22"/>
          <w:lang w:val="en-GB"/>
        </w:rPr>
        <w:t xml:space="preserve"> Azerbaijan also continues to target freedom of peaceful assembly,</w:t>
      </w:r>
      <w:r>
        <w:rPr>
          <w:rStyle w:val="None"/>
          <w:kern w:val="2"/>
          <w:sz w:val="22"/>
          <w:szCs w:val="22"/>
          <w:vertAlign w:val="superscript"/>
          <w:lang w:val="en-GB"/>
        </w:rPr>
        <w:footnoteReference w:id="76"/>
      </w:r>
      <w:r>
        <w:rPr>
          <w:rStyle w:val="None"/>
          <w:kern w:val="2"/>
          <w:sz w:val="22"/>
          <w:szCs w:val="22"/>
          <w:lang w:val="en-GB"/>
        </w:rPr>
        <w:t xml:space="preserve"> arbitrarily detain human rights defenders,</w:t>
      </w:r>
      <w:r>
        <w:rPr>
          <w:rStyle w:val="None"/>
          <w:kern w:val="2"/>
          <w:sz w:val="22"/>
          <w:szCs w:val="22"/>
          <w:vertAlign w:val="superscript"/>
          <w:lang w:val="en-GB"/>
        </w:rPr>
        <w:footnoteReference w:id="77"/>
      </w:r>
      <w:r>
        <w:rPr>
          <w:rStyle w:val="None"/>
          <w:kern w:val="2"/>
          <w:sz w:val="22"/>
          <w:szCs w:val="22"/>
          <w:lang w:val="en-GB"/>
        </w:rPr>
        <w:t xml:space="preserve"> restrict the rights of LGBTQI individuals,</w:t>
      </w:r>
      <w:r>
        <w:rPr>
          <w:rStyle w:val="None"/>
          <w:kern w:val="2"/>
          <w:sz w:val="22"/>
          <w:szCs w:val="22"/>
          <w:vertAlign w:val="superscript"/>
          <w:lang w:val="en-GB"/>
        </w:rPr>
        <w:footnoteReference w:id="78"/>
      </w:r>
      <w:r>
        <w:rPr>
          <w:rStyle w:val="None"/>
          <w:kern w:val="2"/>
          <w:sz w:val="22"/>
          <w:szCs w:val="22"/>
          <w:lang w:val="en-GB"/>
        </w:rPr>
        <w:t xml:space="preserve"> and engage in the torture and ill treatment of dissidents.</w:t>
      </w:r>
      <w:r>
        <w:rPr>
          <w:rStyle w:val="None"/>
          <w:kern w:val="2"/>
          <w:sz w:val="22"/>
          <w:szCs w:val="22"/>
          <w:vertAlign w:val="superscript"/>
          <w:lang w:val="en-GB"/>
        </w:rPr>
        <w:footnoteReference w:id="79"/>
      </w:r>
      <w:r>
        <w:rPr>
          <w:rStyle w:val="None"/>
          <w:kern w:val="2"/>
          <w:sz w:val="22"/>
          <w:szCs w:val="22"/>
          <w:lang w:val="en-GB"/>
        </w:rPr>
        <w:t xml:space="preserve"> </w:t>
      </w:r>
    </w:p>
    <w:p w14:paraId="3E35572F"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As Article 17 of the Convention is concerned with preventing totalitarian drift, the Intervener invites the Court to consider the impact that deployments of commercial spyware against journalists might have in the context of the state’s already fragile democracy. The Intervener also encourages the Court to analyse the intent of the state in deploying commercial spyware in the context of its broader assault on democracy. </w:t>
      </w:r>
    </w:p>
    <w:p w14:paraId="1F5E7114" w14:textId="77777777" w:rsidR="006517ED" w:rsidRDefault="006517ED" w:rsidP="006517ED">
      <w:pPr>
        <w:pStyle w:val="BodyB"/>
        <w:numPr>
          <w:ilvl w:val="0"/>
          <w:numId w:val="2"/>
        </w:numPr>
        <w:spacing w:after="160"/>
        <w:rPr>
          <w:sz w:val="22"/>
          <w:szCs w:val="22"/>
          <w:lang w:val="en-GB"/>
        </w:rPr>
      </w:pPr>
      <w:r>
        <w:rPr>
          <w:rStyle w:val="None"/>
          <w:kern w:val="2"/>
          <w:sz w:val="22"/>
          <w:szCs w:val="22"/>
          <w:lang w:val="en-GB"/>
        </w:rPr>
        <w:t xml:space="preserve">The Intervener submits that the use of commercial spyware against journalists engages Article 17 because it effectively destroys the essence of the right to privacy. As such, we encourage </w:t>
      </w:r>
      <w:r>
        <w:rPr>
          <w:rStyle w:val="None"/>
          <w:kern w:val="2"/>
          <w:sz w:val="22"/>
          <w:szCs w:val="22"/>
          <w:lang w:val="en-GB"/>
        </w:rPr>
        <w:lastRenderedPageBreak/>
        <w:t xml:space="preserve">the Court to apply the framework developed in regards to Article 18, and consider the use of spyware under Article 17 without the presumption of good faith, and consider knowledge of the consequences of the use of spyware, the widespread and systematic nature of the use of spyware, and the context of totalitarian drift in analysing the intent of the state.  </w:t>
      </w:r>
    </w:p>
    <w:p w14:paraId="0524DF4A" w14:textId="77777777" w:rsidR="006517ED" w:rsidRDefault="006517ED" w:rsidP="006517ED">
      <w:pPr>
        <w:pStyle w:val="BodyB"/>
        <w:numPr>
          <w:ilvl w:val="0"/>
          <w:numId w:val="9"/>
        </w:numPr>
        <w:spacing w:after="160"/>
        <w:rPr>
          <w:b/>
          <w:bCs/>
          <w:sz w:val="22"/>
          <w:szCs w:val="22"/>
          <w:lang w:val="en-GB"/>
        </w:rPr>
      </w:pPr>
      <w:r>
        <w:rPr>
          <w:rStyle w:val="None"/>
          <w:b/>
          <w:bCs/>
          <w:kern w:val="2"/>
          <w:sz w:val="22"/>
          <w:szCs w:val="22"/>
          <w:lang w:val="en-GB"/>
        </w:rPr>
        <w:t xml:space="preserve">Conclusion </w:t>
      </w:r>
    </w:p>
    <w:p w14:paraId="7296D73F" w14:textId="37AE1205" w:rsidR="006517ED" w:rsidRDefault="008F7171" w:rsidP="006517ED">
      <w:pPr>
        <w:pStyle w:val="BodyB"/>
        <w:numPr>
          <w:ilvl w:val="0"/>
          <w:numId w:val="2"/>
        </w:numPr>
        <w:spacing w:after="160"/>
        <w:rPr>
          <w:sz w:val="22"/>
          <w:szCs w:val="22"/>
          <w:lang w:val="en-GB"/>
        </w:rPr>
      </w:pPr>
      <w:r w:rsidRPr="005218A3">
        <w:rPr>
          <w:rStyle w:val="None"/>
          <w:kern w:val="2"/>
          <w:sz w:val="22"/>
          <w:szCs w:val="22"/>
          <w:lang w:val="en-GB"/>
        </w:rPr>
        <w:t xml:space="preserve">The Court was right in </w:t>
      </w:r>
      <w:r w:rsidRPr="005218A3">
        <w:rPr>
          <w:rStyle w:val="None"/>
          <w:i/>
          <w:iCs/>
          <w:kern w:val="2"/>
          <w:sz w:val="22"/>
          <w:szCs w:val="22"/>
          <w:lang w:val="en-GB"/>
        </w:rPr>
        <w:t xml:space="preserve">Szabó and Vissy v. Hungary </w:t>
      </w:r>
      <w:r w:rsidRPr="005218A3">
        <w:rPr>
          <w:rStyle w:val="None"/>
          <w:kern w:val="2"/>
          <w:sz w:val="22"/>
          <w:szCs w:val="22"/>
          <w:lang w:val="en-GB"/>
        </w:rPr>
        <w:t xml:space="preserve">to raise the alarm about the dangers of cutting-edge surveillance technology. </w:t>
      </w:r>
      <w:r w:rsidR="006517ED">
        <w:rPr>
          <w:rStyle w:val="None"/>
          <w:kern w:val="2"/>
          <w:sz w:val="22"/>
          <w:szCs w:val="22"/>
          <w:lang w:val="en-GB"/>
        </w:rPr>
        <w:t>Commercial spyware offers states novel, unchecked power, and its deployment destroys the very essence of the right to privacy. Article 17 offers the Court a similarly novel means of countering this power and would allow the Court to recognise and address the grave harm this technology inflicts on fundamental rights, and the threat it presents to democracy itself.</w:t>
      </w:r>
    </w:p>
    <w:p w14:paraId="1FCC8306" w14:textId="706C8A27" w:rsidR="006517ED" w:rsidRDefault="006517ED" w:rsidP="006517ED">
      <w:pPr>
        <w:pStyle w:val="Body"/>
        <w:spacing w:line="276" w:lineRule="auto"/>
        <w:jc w:val="right"/>
        <w:rPr>
          <w:sz w:val="22"/>
          <w:szCs w:val="22"/>
          <w:lang w:val="en-GB"/>
        </w:rPr>
      </w:pPr>
      <w:r>
        <w:rPr>
          <w:sz w:val="22"/>
          <w:szCs w:val="22"/>
          <w:lang w:val="en-GB"/>
        </w:rPr>
        <w:t>2</w:t>
      </w:r>
      <w:r w:rsidR="00FA4307">
        <w:rPr>
          <w:sz w:val="22"/>
          <w:szCs w:val="22"/>
          <w:lang w:val="en-GB"/>
        </w:rPr>
        <w:t>1</w:t>
      </w:r>
      <w:r>
        <w:rPr>
          <w:sz w:val="22"/>
          <w:szCs w:val="22"/>
          <w:lang w:val="en-GB"/>
        </w:rPr>
        <w:t xml:space="preserve"> April 2026</w:t>
      </w:r>
    </w:p>
    <w:p w14:paraId="03CB4FD4" w14:textId="77777777" w:rsidR="006517ED" w:rsidRDefault="006517ED" w:rsidP="006517ED">
      <w:pPr>
        <w:pStyle w:val="Body"/>
        <w:spacing w:line="276" w:lineRule="auto"/>
        <w:ind w:left="6480"/>
        <w:rPr>
          <w:sz w:val="22"/>
          <w:szCs w:val="22"/>
          <w:lang w:val="en-GB"/>
        </w:rPr>
      </w:pPr>
    </w:p>
    <w:p w14:paraId="29C238E8" w14:textId="77777777" w:rsidR="006517ED" w:rsidRDefault="006517ED" w:rsidP="006517ED">
      <w:pPr>
        <w:pStyle w:val="Body"/>
        <w:spacing w:line="276" w:lineRule="auto"/>
        <w:ind w:left="6480"/>
        <w:rPr>
          <w:sz w:val="22"/>
          <w:szCs w:val="22"/>
          <w:lang w:val="en-GB"/>
        </w:rPr>
      </w:pPr>
      <w:r>
        <w:rPr>
          <w:sz w:val="22"/>
          <w:szCs w:val="22"/>
          <w:lang w:val="en-GB"/>
        </w:rPr>
        <w:t>On behalf of the Intervener</w:t>
      </w:r>
    </w:p>
    <w:p w14:paraId="1B0DDB4C" w14:textId="77777777" w:rsidR="006517ED" w:rsidRDefault="006517ED" w:rsidP="006517ED">
      <w:pPr>
        <w:pStyle w:val="Body"/>
        <w:spacing w:line="276" w:lineRule="auto"/>
        <w:ind w:left="6480"/>
        <w:rPr>
          <w:sz w:val="22"/>
          <w:szCs w:val="22"/>
          <w:lang w:val="en-GB"/>
        </w:rPr>
      </w:pPr>
    </w:p>
    <w:p w14:paraId="7DA2C33B" w14:textId="77777777" w:rsidR="006517ED" w:rsidRDefault="006517ED" w:rsidP="006517ED">
      <w:pPr>
        <w:pStyle w:val="Body"/>
        <w:spacing w:line="276" w:lineRule="auto"/>
        <w:ind w:left="6480"/>
        <w:rPr>
          <w:sz w:val="22"/>
          <w:szCs w:val="22"/>
          <w:lang w:val="en-GB"/>
        </w:rPr>
      </w:pPr>
      <w:r>
        <w:rPr>
          <w:rStyle w:val="None"/>
          <w:sz w:val="22"/>
          <w:szCs w:val="22"/>
          <w:lang w:val="en-GB"/>
        </w:rPr>
        <w:t>Amina Fahmy</w:t>
      </w:r>
    </w:p>
    <w:p w14:paraId="6828995B" w14:textId="77777777" w:rsidR="006517ED" w:rsidRDefault="006517ED" w:rsidP="006517ED">
      <w:pPr>
        <w:pStyle w:val="Body"/>
        <w:spacing w:line="276" w:lineRule="auto"/>
        <w:ind w:left="6480"/>
        <w:rPr>
          <w:sz w:val="22"/>
          <w:szCs w:val="22"/>
          <w:lang w:val="en-GB"/>
        </w:rPr>
      </w:pPr>
      <w:r>
        <w:rPr>
          <w:rStyle w:val="None"/>
          <w:sz w:val="22"/>
          <w:szCs w:val="22"/>
          <w:lang w:val="en-GB"/>
        </w:rPr>
        <w:t>Legal Officer</w:t>
      </w:r>
    </w:p>
    <w:p w14:paraId="789019B0" w14:textId="77777777" w:rsidR="006517ED" w:rsidRDefault="006517ED" w:rsidP="006517ED">
      <w:pPr>
        <w:pStyle w:val="Body"/>
        <w:spacing w:line="276" w:lineRule="auto"/>
        <w:ind w:left="6480"/>
        <w:rPr>
          <w:sz w:val="22"/>
          <w:szCs w:val="22"/>
          <w:lang w:val="en-GB"/>
        </w:rPr>
      </w:pPr>
      <w:r>
        <w:rPr>
          <w:rStyle w:val="None"/>
          <w:sz w:val="22"/>
          <w:szCs w:val="22"/>
          <w:lang w:val="en-GB"/>
        </w:rPr>
        <w:t>Privacy International</w:t>
      </w:r>
    </w:p>
    <w:p w14:paraId="4B3668C7" w14:textId="77777777" w:rsidR="006517ED" w:rsidRDefault="006517ED" w:rsidP="006517ED">
      <w:pPr>
        <w:pStyle w:val="Body"/>
        <w:spacing w:line="276" w:lineRule="auto"/>
        <w:ind w:left="6480"/>
        <w:rPr>
          <w:sz w:val="22"/>
          <w:szCs w:val="22"/>
          <w:lang w:val="en-GB"/>
        </w:rPr>
      </w:pPr>
      <w:r>
        <w:rPr>
          <w:rStyle w:val="None"/>
          <w:sz w:val="22"/>
          <w:szCs w:val="22"/>
          <w:lang w:val="en-GB"/>
        </w:rPr>
        <w:t>London EC1M 5UY</w:t>
      </w:r>
    </w:p>
    <w:p w14:paraId="015E6D3E" w14:textId="77777777" w:rsidR="006517ED" w:rsidRDefault="006517ED" w:rsidP="006517ED">
      <w:pPr>
        <w:pStyle w:val="Body"/>
        <w:spacing w:line="276" w:lineRule="auto"/>
        <w:ind w:left="6480"/>
        <w:rPr>
          <w:sz w:val="22"/>
          <w:szCs w:val="22"/>
          <w:lang w:val="en-GB"/>
        </w:rPr>
      </w:pPr>
    </w:p>
    <w:p w14:paraId="1E9199EC" w14:textId="77777777" w:rsidR="006517ED" w:rsidRDefault="006517ED" w:rsidP="006517ED">
      <w:pPr>
        <w:pStyle w:val="Body"/>
        <w:spacing w:line="276" w:lineRule="auto"/>
        <w:ind w:left="6480"/>
        <w:rPr>
          <w:sz w:val="22"/>
          <w:szCs w:val="22"/>
          <w:lang w:val="en-GB"/>
        </w:rPr>
      </w:pPr>
      <w:r>
        <w:rPr>
          <w:rStyle w:val="None"/>
          <w:sz w:val="22"/>
          <w:szCs w:val="22"/>
          <w:lang w:val="en-GB"/>
        </w:rPr>
        <w:t>Ioannis Kouvakas</w:t>
      </w:r>
    </w:p>
    <w:p w14:paraId="52CAC7A1" w14:textId="77777777" w:rsidR="006517ED" w:rsidRDefault="006517ED" w:rsidP="006517ED">
      <w:pPr>
        <w:pStyle w:val="Body"/>
        <w:spacing w:line="276" w:lineRule="auto"/>
        <w:ind w:left="6480"/>
        <w:rPr>
          <w:sz w:val="22"/>
          <w:szCs w:val="22"/>
          <w:lang w:val="en-GB"/>
        </w:rPr>
      </w:pPr>
      <w:r>
        <w:rPr>
          <w:rStyle w:val="None"/>
          <w:sz w:val="22"/>
          <w:szCs w:val="22"/>
          <w:lang w:val="en-GB"/>
        </w:rPr>
        <w:t>Assistant General Counsel</w:t>
      </w:r>
    </w:p>
    <w:p w14:paraId="4859491C" w14:textId="77777777" w:rsidR="006517ED" w:rsidRDefault="006517ED" w:rsidP="006517ED">
      <w:pPr>
        <w:pStyle w:val="Body"/>
        <w:spacing w:line="276" w:lineRule="auto"/>
        <w:ind w:left="6480"/>
        <w:rPr>
          <w:sz w:val="22"/>
          <w:szCs w:val="22"/>
          <w:lang w:val="en-GB"/>
        </w:rPr>
      </w:pPr>
      <w:r>
        <w:rPr>
          <w:rStyle w:val="None"/>
          <w:sz w:val="22"/>
          <w:szCs w:val="22"/>
          <w:lang w:val="en-GB"/>
        </w:rPr>
        <w:t>Privacy International</w:t>
      </w:r>
    </w:p>
    <w:p w14:paraId="2456A29F" w14:textId="77777777" w:rsidR="006517ED" w:rsidRDefault="006517ED" w:rsidP="006517ED">
      <w:pPr>
        <w:pStyle w:val="Body"/>
        <w:spacing w:line="276" w:lineRule="auto"/>
        <w:ind w:left="6480"/>
        <w:rPr>
          <w:sz w:val="22"/>
          <w:szCs w:val="22"/>
          <w:lang w:val="en-GB"/>
        </w:rPr>
      </w:pPr>
      <w:r>
        <w:rPr>
          <w:rStyle w:val="None"/>
          <w:sz w:val="22"/>
          <w:szCs w:val="22"/>
          <w:lang w:val="en-GB"/>
        </w:rPr>
        <w:t>London EC1M 5UY</w:t>
      </w:r>
    </w:p>
    <w:p w14:paraId="2AA9735F" w14:textId="77777777" w:rsidR="006517ED" w:rsidRDefault="006517ED" w:rsidP="006517ED">
      <w:pPr>
        <w:pStyle w:val="Body"/>
        <w:spacing w:line="276" w:lineRule="auto"/>
        <w:ind w:left="6480"/>
        <w:rPr>
          <w:sz w:val="22"/>
          <w:szCs w:val="22"/>
          <w:lang w:val="en-GB"/>
        </w:rPr>
      </w:pPr>
    </w:p>
    <w:p w14:paraId="41BBD389" w14:textId="77777777" w:rsidR="006517ED" w:rsidRDefault="006517ED" w:rsidP="006517ED">
      <w:pPr>
        <w:pStyle w:val="Body"/>
        <w:spacing w:line="276" w:lineRule="auto"/>
        <w:ind w:left="6480"/>
        <w:rPr>
          <w:sz w:val="22"/>
          <w:szCs w:val="22"/>
          <w:lang w:val="en-GB"/>
        </w:rPr>
      </w:pPr>
      <w:r>
        <w:rPr>
          <w:rStyle w:val="None"/>
          <w:sz w:val="22"/>
          <w:szCs w:val="22"/>
          <w:lang w:val="en-GB"/>
        </w:rPr>
        <w:t>Dr Ilia Siatitsa</w:t>
      </w:r>
    </w:p>
    <w:p w14:paraId="5DAF084F" w14:textId="77777777" w:rsidR="006517ED" w:rsidRDefault="006517ED" w:rsidP="006517ED">
      <w:pPr>
        <w:pStyle w:val="Body"/>
        <w:spacing w:line="276" w:lineRule="auto"/>
        <w:ind w:left="6480"/>
        <w:rPr>
          <w:sz w:val="22"/>
          <w:szCs w:val="22"/>
          <w:lang w:val="en-GB"/>
        </w:rPr>
      </w:pPr>
      <w:r>
        <w:rPr>
          <w:rStyle w:val="None"/>
          <w:sz w:val="22"/>
          <w:szCs w:val="22"/>
          <w:lang w:val="en-GB"/>
        </w:rPr>
        <w:t>Senior Legal Officer</w:t>
      </w:r>
    </w:p>
    <w:p w14:paraId="1EDE9ADD" w14:textId="77777777" w:rsidR="006517ED" w:rsidRDefault="006517ED" w:rsidP="006517ED">
      <w:pPr>
        <w:pStyle w:val="Body"/>
        <w:spacing w:line="276" w:lineRule="auto"/>
        <w:ind w:left="6480"/>
        <w:rPr>
          <w:sz w:val="22"/>
          <w:szCs w:val="22"/>
          <w:lang w:val="en-GB"/>
        </w:rPr>
      </w:pPr>
      <w:r>
        <w:rPr>
          <w:rStyle w:val="None"/>
          <w:sz w:val="22"/>
          <w:szCs w:val="22"/>
          <w:lang w:val="en-GB"/>
        </w:rPr>
        <w:t xml:space="preserve">Privacy International </w:t>
      </w:r>
    </w:p>
    <w:p w14:paraId="5CE7D3CB" w14:textId="77777777" w:rsidR="006517ED" w:rsidRDefault="006517ED" w:rsidP="006517ED">
      <w:pPr>
        <w:pStyle w:val="Body"/>
        <w:spacing w:line="276" w:lineRule="auto"/>
        <w:ind w:left="6480"/>
        <w:rPr>
          <w:lang w:val="en-GB"/>
        </w:rPr>
      </w:pPr>
      <w:r>
        <w:rPr>
          <w:rStyle w:val="None"/>
          <w:sz w:val="22"/>
          <w:szCs w:val="22"/>
          <w:lang w:val="en-GB"/>
        </w:rPr>
        <w:t>London EC1M 5UY</w:t>
      </w:r>
    </w:p>
    <w:p w14:paraId="7339B7A8" w14:textId="77777777" w:rsidR="00A901FC" w:rsidRDefault="00A901FC"/>
    <w:sectPr w:rsidR="00A901F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9ED1D" w14:textId="77777777" w:rsidR="002154FB" w:rsidRDefault="002154FB" w:rsidP="006517ED">
      <w:pPr>
        <w:spacing w:after="0" w:line="240" w:lineRule="auto"/>
      </w:pPr>
      <w:r>
        <w:separator/>
      </w:r>
    </w:p>
  </w:endnote>
  <w:endnote w:type="continuationSeparator" w:id="0">
    <w:p w14:paraId="0AF5E6CE" w14:textId="77777777" w:rsidR="002154FB" w:rsidRDefault="002154FB" w:rsidP="00651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9852205"/>
      <w:docPartObj>
        <w:docPartGallery w:val="Page Numbers (Bottom of Page)"/>
        <w:docPartUnique/>
      </w:docPartObj>
    </w:sdtPr>
    <w:sdtContent>
      <w:p w14:paraId="135BC704" w14:textId="570ACE56" w:rsidR="00476906" w:rsidRDefault="00476906" w:rsidP="00AF7EC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88937AE" w14:textId="77777777" w:rsidR="00476906" w:rsidRDefault="00476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2"/>
        <w:szCs w:val="22"/>
      </w:rPr>
      <w:id w:val="1203358793"/>
      <w:docPartObj>
        <w:docPartGallery w:val="Page Numbers (Bottom of Page)"/>
        <w:docPartUnique/>
      </w:docPartObj>
    </w:sdtPr>
    <w:sdtContent>
      <w:p w14:paraId="32E221E2" w14:textId="378E98C8" w:rsidR="00476906" w:rsidRPr="00476906" w:rsidRDefault="00476906" w:rsidP="00AF7EC5">
        <w:pPr>
          <w:pStyle w:val="Footer"/>
          <w:framePr w:wrap="none" w:vAnchor="text" w:hAnchor="margin" w:xAlign="center" w:y="1"/>
          <w:rPr>
            <w:rStyle w:val="PageNumber"/>
            <w:rFonts w:ascii="Times New Roman" w:hAnsi="Times New Roman" w:cs="Times New Roman"/>
            <w:sz w:val="22"/>
            <w:szCs w:val="22"/>
          </w:rPr>
        </w:pPr>
        <w:r w:rsidRPr="00476906">
          <w:rPr>
            <w:rStyle w:val="PageNumber"/>
            <w:rFonts w:ascii="Times New Roman" w:hAnsi="Times New Roman" w:cs="Times New Roman"/>
            <w:sz w:val="22"/>
            <w:szCs w:val="22"/>
          </w:rPr>
          <w:fldChar w:fldCharType="begin"/>
        </w:r>
        <w:r w:rsidRPr="00476906">
          <w:rPr>
            <w:rStyle w:val="PageNumber"/>
            <w:rFonts w:ascii="Times New Roman" w:hAnsi="Times New Roman" w:cs="Times New Roman"/>
            <w:sz w:val="22"/>
            <w:szCs w:val="22"/>
          </w:rPr>
          <w:instrText xml:space="preserve"> PAGE </w:instrText>
        </w:r>
        <w:r w:rsidRPr="00476906">
          <w:rPr>
            <w:rStyle w:val="PageNumber"/>
            <w:rFonts w:ascii="Times New Roman" w:hAnsi="Times New Roman" w:cs="Times New Roman"/>
            <w:sz w:val="22"/>
            <w:szCs w:val="22"/>
          </w:rPr>
          <w:fldChar w:fldCharType="separate"/>
        </w:r>
        <w:r w:rsidRPr="00476906">
          <w:rPr>
            <w:rStyle w:val="PageNumber"/>
            <w:rFonts w:ascii="Times New Roman" w:hAnsi="Times New Roman" w:cs="Times New Roman"/>
            <w:noProof/>
            <w:sz w:val="22"/>
            <w:szCs w:val="22"/>
          </w:rPr>
          <w:t>11</w:t>
        </w:r>
        <w:r w:rsidRPr="00476906">
          <w:rPr>
            <w:rStyle w:val="PageNumber"/>
            <w:rFonts w:ascii="Times New Roman" w:hAnsi="Times New Roman" w:cs="Times New Roman"/>
            <w:sz w:val="22"/>
            <w:szCs w:val="22"/>
          </w:rPr>
          <w:fldChar w:fldCharType="end"/>
        </w:r>
      </w:p>
    </w:sdtContent>
  </w:sdt>
  <w:p w14:paraId="3E5B36FC" w14:textId="77777777" w:rsidR="00476906" w:rsidRPr="00476906" w:rsidRDefault="00476906">
    <w:pPr>
      <w:pStyle w:val="Footer"/>
      <w:rPr>
        <w:rFonts w:ascii="Times New Roman" w:hAnsi="Times New Roman" w:cs="Times New Roman"/>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4567" w14:textId="77777777" w:rsidR="00476906" w:rsidRDefault="00476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AE6A9" w14:textId="77777777" w:rsidR="002154FB" w:rsidRDefault="002154FB" w:rsidP="006517ED">
      <w:pPr>
        <w:spacing w:after="0" w:line="240" w:lineRule="auto"/>
      </w:pPr>
      <w:r>
        <w:separator/>
      </w:r>
    </w:p>
  </w:footnote>
  <w:footnote w:type="continuationSeparator" w:id="0">
    <w:p w14:paraId="27C60E4E" w14:textId="77777777" w:rsidR="002154FB" w:rsidRDefault="002154FB" w:rsidP="006517ED">
      <w:pPr>
        <w:spacing w:after="0" w:line="240" w:lineRule="auto"/>
      </w:pPr>
      <w:r>
        <w:continuationSeparator/>
      </w:r>
    </w:p>
  </w:footnote>
  <w:footnote w:id="1">
    <w:p w14:paraId="44B505D6" w14:textId="77777777" w:rsidR="006517ED" w:rsidRDefault="006517ED" w:rsidP="006517ED">
      <w:pPr>
        <w:pStyle w:val="Default"/>
        <w:spacing w:before="0" w:line="240" w:lineRule="auto"/>
      </w:pPr>
      <w:r>
        <w:rPr>
          <w:rFonts w:ascii="Times New Roman" w:eastAsia="Times New Roman" w:hAnsi="Times New Roman" w:cs="Times New Roman"/>
          <w:kern w:val="2"/>
          <w:sz w:val="18"/>
          <w:szCs w:val="18"/>
          <w:vertAlign w:val="superscript"/>
        </w:rPr>
        <w:footnoteRef/>
      </w:r>
      <w:r>
        <w:rPr>
          <w:rFonts w:ascii="Times New Roman" w:hAnsi="Times New Roman"/>
          <w:kern w:val="2"/>
          <w:sz w:val="18"/>
          <w:szCs w:val="18"/>
        </w:rPr>
        <w:t xml:space="preserve"> </w:t>
      </w:r>
      <w:r>
        <w:rPr>
          <w:rFonts w:ascii="Times New Roman" w:hAnsi="Times New Roman"/>
          <w:sz w:val="18"/>
          <w:szCs w:val="18"/>
        </w:rPr>
        <w:t xml:space="preserve">European Digital Rights (EDRi), </w:t>
      </w:r>
      <w:r>
        <w:rPr>
          <w:rFonts w:ascii="Times New Roman" w:hAnsi="Times New Roman"/>
          <w:i/>
          <w:iCs/>
          <w:sz w:val="18"/>
          <w:szCs w:val="18"/>
        </w:rPr>
        <w:t>Spyware and State Abuse: The Case for an EU-Wide Ban</w:t>
      </w:r>
      <w:r>
        <w:rPr>
          <w:rFonts w:ascii="Times New Roman" w:hAnsi="Times New Roman"/>
          <w:sz w:val="18"/>
          <w:szCs w:val="18"/>
        </w:rPr>
        <w:t xml:space="preserve">, pp. 6-7 (June 2025) </w:t>
      </w:r>
      <w:hyperlink r:id="rId1" w:history="1">
        <w:r>
          <w:rPr>
            <w:rStyle w:val="Hyperlink0"/>
            <w:rFonts w:eastAsia="Arial Unicode MS"/>
            <w:sz w:val="18"/>
            <w:szCs w:val="18"/>
          </w:rPr>
          <w:t>https://edri.org/wp-content/uploads/2025/06/EDRi_Spyware-position-paper.pdf</w:t>
        </w:r>
      </w:hyperlink>
      <w:r>
        <w:rPr>
          <w:rStyle w:val="None"/>
          <w:rFonts w:ascii="Times New Roman" w:hAnsi="Times New Roman"/>
          <w:sz w:val="18"/>
          <w:szCs w:val="18"/>
        </w:rPr>
        <w:t xml:space="preserve">. (EDRi 2025). </w:t>
      </w:r>
    </w:p>
  </w:footnote>
  <w:footnote w:id="2">
    <w:p w14:paraId="6FADBC94"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Style w:val="None"/>
          <w:rFonts w:ascii="Times New Roman" w:hAnsi="Times New Roman"/>
          <w:i/>
          <w:iCs/>
          <w:kern w:val="2"/>
          <w:sz w:val="18"/>
          <w:szCs w:val="18"/>
        </w:rPr>
        <w:t>Ibid</w:t>
      </w:r>
      <w:r>
        <w:rPr>
          <w:rStyle w:val="None"/>
          <w:rFonts w:ascii="Times New Roman" w:hAnsi="Times New Roman"/>
          <w:kern w:val="2"/>
          <w:sz w:val="18"/>
          <w:szCs w:val="18"/>
        </w:rPr>
        <w:t xml:space="preserve">., p. 8. </w:t>
      </w:r>
    </w:p>
  </w:footnote>
  <w:footnote w:id="3">
    <w:p w14:paraId="772871CC"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Style w:val="None"/>
          <w:rFonts w:ascii="Times New Roman" w:hAnsi="Times New Roman"/>
          <w:i/>
          <w:iCs/>
          <w:kern w:val="2"/>
          <w:sz w:val="18"/>
          <w:szCs w:val="18"/>
        </w:rPr>
        <w:t>Ibid</w:t>
      </w:r>
      <w:r>
        <w:rPr>
          <w:rStyle w:val="None"/>
          <w:rFonts w:ascii="Times New Roman" w:hAnsi="Times New Roman"/>
          <w:kern w:val="2"/>
          <w:sz w:val="18"/>
          <w:szCs w:val="18"/>
        </w:rPr>
        <w:t xml:space="preserve">., </w:t>
      </w:r>
      <w:r>
        <w:rPr>
          <w:rStyle w:val="None"/>
          <w:rFonts w:ascii="Times New Roman" w:hAnsi="Times New Roman"/>
          <w:sz w:val="18"/>
          <w:szCs w:val="18"/>
        </w:rPr>
        <w:t xml:space="preserve">Privacy International, </w:t>
      </w:r>
      <w:r>
        <w:rPr>
          <w:rStyle w:val="None"/>
          <w:rFonts w:ascii="Times New Roman" w:hAnsi="Times New Roman"/>
          <w:i/>
          <w:iCs/>
          <w:sz w:val="18"/>
          <w:szCs w:val="18"/>
        </w:rPr>
        <w:t xml:space="preserve">Statement to the Federal Constitutional Court of Germany on the Use of State Trojans, </w:t>
      </w:r>
      <w:r>
        <w:rPr>
          <w:rStyle w:val="None"/>
          <w:rFonts w:ascii="Times New Roman" w:hAnsi="Times New Roman"/>
          <w:sz w:val="18"/>
          <w:szCs w:val="18"/>
        </w:rPr>
        <w:t xml:space="preserve">p. 3 (September 2019) </w:t>
      </w:r>
      <w:hyperlink r:id="rId2" w:history="1">
        <w:r>
          <w:rPr>
            <w:rStyle w:val="Hyperlink1"/>
            <w:rFonts w:eastAsia="Arial Unicode MS"/>
            <w:sz w:val="18"/>
            <w:szCs w:val="18"/>
          </w:rPr>
          <w:t>https://privacyinternational.org/sites/default/files/2019-09/BVerfG_Statement_PI_Trojans_Sept2019_EN.pdf</w:t>
        </w:r>
      </w:hyperlink>
      <w:r>
        <w:rPr>
          <w:rStyle w:val="None"/>
          <w:rFonts w:ascii="Times New Roman" w:hAnsi="Times New Roman"/>
          <w:sz w:val="18"/>
          <w:szCs w:val="18"/>
        </w:rPr>
        <w:t>. (PI 2019).</w:t>
      </w:r>
    </w:p>
  </w:footnote>
  <w:footnote w:id="4">
    <w:p w14:paraId="65A29F03" w14:textId="77777777" w:rsidR="006517ED" w:rsidRDefault="006517ED" w:rsidP="006517ED">
      <w:pPr>
        <w:pStyle w:val="Footnote"/>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EDRi 2025, </w:t>
      </w:r>
      <w:r>
        <w:rPr>
          <w:rStyle w:val="None"/>
          <w:rFonts w:ascii="Times New Roman" w:hAnsi="Times New Roman"/>
          <w:i/>
          <w:iCs/>
          <w:kern w:val="2"/>
          <w:sz w:val="18"/>
          <w:szCs w:val="18"/>
        </w:rPr>
        <w:t xml:space="preserve">supra </w:t>
      </w:r>
      <w:r>
        <w:rPr>
          <w:rStyle w:val="None"/>
          <w:rFonts w:ascii="Times New Roman" w:hAnsi="Times New Roman"/>
          <w:kern w:val="2"/>
          <w:sz w:val="18"/>
          <w:szCs w:val="18"/>
        </w:rPr>
        <w:t xml:space="preserve">note 1, p. 13; </w:t>
      </w:r>
      <w:r>
        <w:rPr>
          <w:rStyle w:val="None"/>
          <w:rFonts w:ascii="Times New Roman" w:hAnsi="Times New Roman"/>
          <w:sz w:val="18"/>
          <w:szCs w:val="18"/>
        </w:rPr>
        <w:t xml:space="preserve">Electronic Privacy Information Center (EPIC), </w:t>
      </w:r>
      <w:r>
        <w:rPr>
          <w:rStyle w:val="None"/>
          <w:rFonts w:ascii="Times New Roman" w:hAnsi="Times New Roman"/>
          <w:i/>
          <w:iCs/>
          <w:sz w:val="18"/>
          <w:szCs w:val="18"/>
        </w:rPr>
        <w:t xml:space="preserve">The Fight to Protect Our Phones: A Multi-Prong Approach to Spyware Reform, </w:t>
      </w:r>
      <w:r>
        <w:rPr>
          <w:rStyle w:val="None"/>
          <w:rFonts w:ascii="Times New Roman" w:hAnsi="Times New Roman"/>
          <w:sz w:val="18"/>
          <w:szCs w:val="18"/>
        </w:rPr>
        <w:t xml:space="preserve">p. 26 (November 2025) </w:t>
      </w:r>
      <w:hyperlink r:id="rId3" w:history="1">
        <w:r>
          <w:rPr>
            <w:rStyle w:val="Hyperlink2"/>
            <w:rFonts w:eastAsia="Arial Unicode MS" w:cs="Arial Unicode MS"/>
          </w:rPr>
          <w:t>https://epic.org/wp-content/uploads/2025/11/EPIC-The-Fight-to-Protect-Our-Phones-1.pdf</w:t>
        </w:r>
      </w:hyperlink>
      <w:r>
        <w:rPr>
          <w:rStyle w:val="None"/>
          <w:rFonts w:ascii="Times New Roman" w:hAnsi="Times New Roman"/>
          <w:sz w:val="18"/>
          <w:szCs w:val="18"/>
        </w:rPr>
        <w:t xml:space="preserve">. (Epic 2025). </w:t>
      </w:r>
    </w:p>
  </w:footnote>
  <w:footnote w:id="5">
    <w:p w14:paraId="2ABB1254"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rFonts w:ascii="Times New Roman" w:hAnsi="Times New Roman"/>
          <w:sz w:val="18"/>
          <w:szCs w:val="18"/>
        </w:rPr>
        <w:t xml:space="preserve"> EPIC 2025, </w:t>
      </w:r>
      <w:r>
        <w:rPr>
          <w:rStyle w:val="None"/>
          <w:rFonts w:ascii="Times New Roman" w:hAnsi="Times New Roman"/>
          <w:i/>
          <w:iCs/>
          <w:sz w:val="18"/>
          <w:szCs w:val="18"/>
        </w:rPr>
        <w:t xml:space="preserve">supra </w:t>
      </w:r>
      <w:r>
        <w:rPr>
          <w:rFonts w:ascii="Times New Roman" w:hAnsi="Times New Roman"/>
          <w:sz w:val="18"/>
          <w:szCs w:val="18"/>
        </w:rPr>
        <w:t xml:space="preserve">note 4, p. 9. </w:t>
      </w:r>
    </w:p>
  </w:footnote>
  <w:footnote w:id="6">
    <w:p w14:paraId="65BAEAFE"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Style w:val="None"/>
          <w:rFonts w:ascii="Times New Roman" w:hAnsi="Times New Roman"/>
          <w:i/>
          <w:iCs/>
          <w:kern w:val="2"/>
          <w:sz w:val="18"/>
          <w:szCs w:val="18"/>
        </w:rPr>
        <w:t xml:space="preserve">See, e.g., </w:t>
      </w:r>
      <w:r>
        <w:rPr>
          <w:rStyle w:val="None"/>
          <w:rFonts w:ascii="Times New Roman" w:hAnsi="Times New Roman"/>
          <w:kern w:val="2"/>
          <w:sz w:val="18"/>
          <w:szCs w:val="18"/>
        </w:rPr>
        <w:t xml:space="preserve">Big Brother Watch and Others v. the United Kingdom [GC], App. Nos 58170/13, 62322/14 and 24960/15, </w:t>
      </w:r>
      <w:r>
        <w:rPr>
          <w:rStyle w:val="None"/>
          <w:rFonts w:ascii="Times New Roman" w:hAnsi="Times New Roman"/>
          <w:color w:val="333333"/>
          <w:kern w:val="2"/>
          <w:sz w:val="18"/>
          <w:szCs w:val="18"/>
        </w:rPr>
        <w:t>para. 335 (25 May 2021);</w:t>
      </w:r>
      <w:r>
        <w:rPr>
          <w:rStyle w:val="None"/>
          <w:rFonts w:ascii="Times New Roman" w:hAnsi="Times New Roman"/>
          <w:kern w:val="2"/>
          <w:sz w:val="18"/>
          <w:szCs w:val="18"/>
        </w:rPr>
        <w:t xml:space="preserve"> </w:t>
      </w:r>
      <w:r>
        <w:rPr>
          <w:rStyle w:val="None"/>
          <w:rFonts w:ascii="Times New Roman" w:hAnsi="Times New Roman"/>
          <w:sz w:val="18"/>
          <w:szCs w:val="18"/>
        </w:rPr>
        <w:t xml:space="preserve">Council of Europe, Parliamentary Assembly, </w:t>
      </w:r>
      <w:r>
        <w:rPr>
          <w:rStyle w:val="None"/>
          <w:rFonts w:ascii="Times New Roman" w:hAnsi="Times New Roman"/>
          <w:i/>
          <w:iCs/>
          <w:sz w:val="18"/>
          <w:szCs w:val="18"/>
        </w:rPr>
        <w:t>Pegasus and Similar Spyware and Secret State Surveillance,</w:t>
      </w:r>
      <w:r>
        <w:rPr>
          <w:rStyle w:val="None"/>
          <w:rFonts w:ascii="Times New Roman" w:hAnsi="Times New Roman"/>
          <w:sz w:val="18"/>
          <w:szCs w:val="18"/>
        </w:rPr>
        <w:t xml:space="preserve"> Doc. 15825 (20 September 2023) </w:t>
      </w:r>
      <w:hyperlink r:id="rId4" w:history="1">
        <w:r>
          <w:rPr>
            <w:rStyle w:val="Hyperlink2"/>
            <w:rFonts w:eastAsia="Arial Unicode MS"/>
          </w:rPr>
          <w:t>https://rm.coe.int/pegasus-and-similar-spyware-and-secret-state-surveillance/1680ac7f68</w:t>
        </w:r>
      </w:hyperlink>
      <w:r>
        <w:rPr>
          <w:rStyle w:val="None"/>
          <w:rFonts w:ascii="Times New Roman" w:hAnsi="Times New Roman"/>
          <w:sz w:val="18"/>
          <w:szCs w:val="18"/>
        </w:rPr>
        <w:t xml:space="preserve">; Epic 2025, </w:t>
      </w:r>
      <w:r>
        <w:rPr>
          <w:rStyle w:val="None"/>
          <w:rFonts w:ascii="Times New Roman" w:hAnsi="Times New Roman"/>
          <w:i/>
          <w:iCs/>
          <w:sz w:val="18"/>
          <w:szCs w:val="18"/>
        </w:rPr>
        <w:t xml:space="preserve">supra </w:t>
      </w:r>
      <w:r>
        <w:rPr>
          <w:rStyle w:val="None"/>
          <w:rFonts w:ascii="Times New Roman" w:hAnsi="Times New Roman"/>
          <w:sz w:val="18"/>
          <w:szCs w:val="18"/>
        </w:rPr>
        <w:t xml:space="preserve">note 4, pp. 26-28. </w:t>
      </w:r>
    </w:p>
  </w:footnote>
  <w:footnote w:id="7">
    <w:p w14:paraId="4ED6013E"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sz w:val="18"/>
          <w:szCs w:val="18"/>
        </w:rPr>
        <w:t xml:space="preserve"> </w:t>
      </w:r>
      <w:r>
        <w:rPr>
          <w:rStyle w:val="None"/>
          <w:rFonts w:ascii="Times New Roman" w:hAnsi="Times New Roman"/>
          <w:sz w:val="18"/>
          <w:szCs w:val="18"/>
        </w:rPr>
        <w:t xml:space="preserve">PI 2019, </w:t>
      </w:r>
      <w:r>
        <w:rPr>
          <w:rStyle w:val="None"/>
          <w:rFonts w:ascii="Times New Roman" w:hAnsi="Times New Roman"/>
          <w:i/>
          <w:iCs/>
          <w:sz w:val="18"/>
          <w:szCs w:val="18"/>
        </w:rPr>
        <w:t xml:space="preserve">supra </w:t>
      </w:r>
      <w:r>
        <w:rPr>
          <w:rStyle w:val="None"/>
          <w:rFonts w:ascii="Times New Roman" w:hAnsi="Times New Roman"/>
          <w:sz w:val="18"/>
          <w:szCs w:val="18"/>
        </w:rPr>
        <w:t>note 3.</w:t>
      </w:r>
    </w:p>
  </w:footnote>
  <w:footnote w:id="8">
    <w:p w14:paraId="02FA81BE"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Style w:val="None"/>
          <w:rFonts w:ascii="Times New Roman" w:hAnsi="Times New Roman"/>
          <w:sz w:val="18"/>
          <w:szCs w:val="18"/>
        </w:rPr>
        <w:t xml:space="preserve">Amnesty International, </w:t>
      </w:r>
      <w:r>
        <w:rPr>
          <w:rStyle w:val="None"/>
          <w:rFonts w:ascii="Times New Roman" w:hAnsi="Times New Roman"/>
          <w:i/>
          <w:iCs/>
          <w:sz w:val="18"/>
          <w:szCs w:val="18"/>
        </w:rPr>
        <w:t xml:space="preserve">Forensic Methodology Report: How to Catch NSO Group’s Pegasus </w:t>
      </w:r>
      <w:r>
        <w:rPr>
          <w:rStyle w:val="None"/>
          <w:rFonts w:ascii="Times New Roman" w:hAnsi="Times New Roman"/>
          <w:sz w:val="18"/>
          <w:szCs w:val="18"/>
        </w:rPr>
        <w:t xml:space="preserve">(18 July 2021) </w:t>
      </w:r>
      <w:hyperlink r:id="rId5" w:history="1">
        <w:r>
          <w:rPr>
            <w:rStyle w:val="Hyperlink4"/>
            <w:rFonts w:eastAsia="Arial Unicode MS"/>
          </w:rPr>
          <w:t>https://www.amnesty.org/en/latest/research/2021/07/forensic-methodology-report-how-to-catch-nso-groups-pegasus/</w:t>
        </w:r>
      </w:hyperlink>
      <w:r>
        <w:rPr>
          <w:rStyle w:val="None"/>
          <w:rFonts w:ascii="Times New Roman" w:hAnsi="Times New Roman"/>
          <w:sz w:val="18"/>
          <w:szCs w:val="18"/>
        </w:rPr>
        <w:t xml:space="preserve"> (Amnesty International 2021); EPIC 2025, </w:t>
      </w:r>
      <w:r>
        <w:rPr>
          <w:rStyle w:val="None"/>
          <w:rFonts w:ascii="Times New Roman" w:hAnsi="Times New Roman"/>
          <w:i/>
          <w:iCs/>
          <w:sz w:val="18"/>
          <w:szCs w:val="18"/>
        </w:rPr>
        <w:t xml:space="preserve">supra </w:t>
      </w:r>
      <w:r>
        <w:rPr>
          <w:rStyle w:val="None"/>
          <w:rFonts w:ascii="Times New Roman" w:hAnsi="Times New Roman"/>
          <w:sz w:val="18"/>
          <w:szCs w:val="18"/>
        </w:rPr>
        <w:t xml:space="preserve">note 4, pp. 26-28. </w:t>
      </w:r>
    </w:p>
  </w:footnote>
  <w:footnote w:id="9">
    <w:p w14:paraId="5F4FFDCF"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S</w:t>
      </w:r>
      <w:r>
        <w:rPr>
          <w:rStyle w:val="None"/>
          <w:rFonts w:ascii="Times New Roman" w:hAnsi="Times New Roman"/>
          <w:i/>
          <w:iCs/>
          <w:kern w:val="2"/>
          <w:sz w:val="18"/>
          <w:szCs w:val="18"/>
        </w:rPr>
        <w:t xml:space="preserve">ee, e.g., </w:t>
      </w:r>
      <w:r>
        <w:rPr>
          <w:rStyle w:val="None"/>
          <w:rFonts w:ascii="Times New Roman" w:hAnsi="Times New Roman"/>
          <w:sz w:val="18"/>
          <w:szCs w:val="18"/>
        </w:rPr>
        <w:t xml:space="preserve">Niemietz v. Germany [Chamber] </w:t>
      </w:r>
      <w:r>
        <w:rPr>
          <w:rStyle w:val="None"/>
          <w:rFonts w:ascii="Times New Roman" w:hAnsi="Times New Roman"/>
          <w:kern w:val="2"/>
          <w:sz w:val="18"/>
          <w:szCs w:val="18"/>
        </w:rPr>
        <w:t xml:space="preserve">App. No. 13710/88, </w:t>
      </w:r>
      <w:r>
        <w:rPr>
          <w:rStyle w:val="None"/>
          <w:rFonts w:ascii="Times New Roman" w:hAnsi="Times New Roman"/>
          <w:sz w:val="18"/>
          <w:szCs w:val="18"/>
        </w:rPr>
        <w:t xml:space="preserve">para. 29 (1992),  Pretty v. the United Kingdom [Fourth Section] App. No. 2346/02, para. 61(29 April 2002). </w:t>
      </w:r>
    </w:p>
  </w:footnote>
  <w:footnote w:id="10">
    <w:p w14:paraId="1AC8D95A"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Ibid.; </w:t>
      </w:r>
      <w:r>
        <w:rPr>
          <w:rStyle w:val="None"/>
          <w:rFonts w:ascii="Times New Roman" w:hAnsi="Times New Roman"/>
          <w:i/>
          <w:iCs/>
          <w:kern w:val="2"/>
          <w:sz w:val="18"/>
          <w:szCs w:val="18"/>
        </w:rPr>
        <w:t xml:space="preserve">see also, </w:t>
      </w:r>
      <w:r>
        <w:rPr>
          <w:rStyle w:val="None"/>
          <w:rFonts w:ascii="Times New Roman" w:hAnsi="Times New Roman"/>
          <w:kern w:val="2"/>
          <w:sz w:val="18"/>
          <w:szCs w:val="18"/>
        </w:rPr>
        <w:t>Denisov v. Ukraine [GC], App. No. 76639/11, paras 95–96 (25 September 2018); Bărbulescu v. Romania, App. No. 61496/08, paras 70–71 (5 September 2017).</w:t>
      </w:r>
    </w:p>
  </w:footnote>
  <w:footnote w:id="11">
    <w:p w14:paraId="2647126F"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Style w:val="None"/>
          <w:rFonts w:ascii="Times New Roman" w:hAnsi="Times New Roman"/>
          <w:sz w:val="18"/>
          <w:szCs w:val="18"/>
        </w:rPr>
        <w:t xml:space="preserve">Niemietz v. Germany, </w:t>
      </w:r>
      <w:r>
        <w:rPr>
          <w:rStyle w:val="None"/>
          <w:rFonts w:ascii="Times New Roman" w:hAnsi="Times New Roman"/>
          <w:i/>
          <w:iCs/>
          <w:sz w:val="18"/>
          <w:szCs w:val="18"/>
        </w:rPr>
        <w:t xml:space="preserve">supra </w:t>
      </w:r>
      <w:r>
        <w:rPr>
          <w:rStyle w:val="None"/>
          <w:rFonts w:ascii="Times New Roman" w:hAnsi="Times New Roman"/>
          <w:sz w:val="18"/>
          <w:szCs w:val="18"/>
        </w:rPr>
        <w:t>note 9,</w:t>
      </w:r>
      <w:r>
        <w:rPr>
          <w:rStyle w:val="None"/>
          <w:rFonts w:ascii="Times New Roman" w:hAnsi="Times New Roman"/>
          <w:kern w:val="2"/>
          <w:sz w:val="18"/>
          <w:szCs w:val="18"/>
        </w:rPr>
        <w:t xml:space="preserve"> </w:t>
      </w:r>
      <w:r>
        <w:rPr>
          <w:rStyle w:val="None"/>
          <w:rFonts w:ascii="Times New Roman" w:hAnsi="Times New Roman"/>
          <w:sz w:val="18"/>
          <w:szCs w:val="18"/>
        </w:rPr>
        <w:t xml:space="preserve">para. 29. </w:t>
      </w:r>
    </w:p>
  </w:footnote>
  <w:footnote w:id="12">
    <w:p w14:paraId="0F9B03C5"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S. And Marper v. the United Kingdom [GC], App. Nos </w:t>
      </w:r>
      <w:r>
        <w:rPr>
          <w:rStyle w:val="None"/>
          <w:rFonts w:ascii="Times New Roman" w:hAnsi="Times New Roman"/>
          <w:sz w:val="18"/>
          <w:szCs w:val="18"/>
        </w:rPr>
        <w:t xml:space="preserve">30562/04 and 30566/04, para. 77 (4 December 2008). </w:t>
      </w:r>
    </w:p>
  </w:footnote>
  <w:footnote w:id="13">
    <w:p w14:paraId="48EC4F11" w14:textId="77777777" w:rsidR="006517ED" w:rsidRDefault="006517ED" w:rsidP="006517ED">
      <w:pPr>
        <w:pStyle w:val="Default"/>
        <w:spacing w:before="0" w:line="240" w:lineRule="auto"/>
      </w:pPr>
      <w:r w:rsidRPr="006517ED">
        <w:rPr>
          <w:rStyle w:val="None"/>
          <w:rFonts w:ascii="Times New Roman" w:hAnsi="Times New Roman" w:cs="Times New Roman"/>
          <w:kern w:val="2"/>
          <w:sz w:val="18"/>
          <w:szCs w:val="18"/>
          <w:vertAlign w:val="superscript"/>
        </w:rPr>
        <w:footnoteRef/>
      </w:r>
      <w:r w:rsidRPr="006517ED">
        <w:rPr>
          <w:rStyle w:val="None"/>
          <w:rFonts w:ascii="Times New Roman" w:hAnsi="Times New Roman" w:cs="Times New Roman"/>
          <w:kern w:val="2"/>
          <w:sz w:val="18"/>
          <w:szCs w:val="18"/>
        </w:rPr>
        <w:t xml:space="preserve"> </w:t>
      </w:r>
      <w:r>
        <w:rPr>
          <w:rStyle w:val="None"/>
          <w:rFonts w:ascii="Times New Roman" w:hAnsi="Times New Roman"/>
          <w:sz w:val="18"/>
          <w:szCs w:val="18"/>
        </w:rPr>
        <w:t xml:space="preserve">European Union Agency for Fundamental Rights, </w:t>
      </w:r>
      <w:r>
        <w:rPr>
          <w:rStyle w:val="None"/>
          <w:rFonts w:ascii="Times New Roman" w:hAnsi="Times New Roman"/>
          <w:i/>
          <w:iCs/>
          <w:sz w:val="18"/>
          <w:szCs w:val="18"/>
        </w:rPr>
        <w:t>Surveillance by Intelligence Services: Fundamental Rights Safeguards and Remedies in the EU – 2023 Update</w:t>
      </w:r>
      <w:r>
        <w:rPr>
          <w:rStyle w:val="None"/>
          <w:rFonts w:ascii="Times New Roman" w:hAnsi="Times New Roman"/>
          <w:sz w:val="18"/>
          <w:szCs w:val="18"/>
        </w:rPr>
        <w:t xml:space="preserve"> (24 May 2023) </w:t>
      </w:r>
      <w:hyperlink r:id="rId6" w:history="1">
        <w:r>
          <w:rPr>
            <w:rStyle w:val="Hyperlink5"/>
            <w:rFonts w:eastAsia="Arial Unicode MS"/>
            <w:sz w:val="18"/>
            <w:szCs w:val="18"/>
          </w:rPr>
          <w:t>https://fra.europa.eu/en/publication/2023/surveillance-update?page=2</w:t>
        </w:r>
      </w:hyperlink>
      <w:r>
        <w:rPr>
          <w:rStyle w:val="None"/>
          <w:rFonts w:ascii="Times New Roman" w:hAnsi="Times New Roman"/>
          <w:sz w:val="18"/>
          <w:szCs w:val="18"/>
        </w:rPr>
        <w:t xml:space="preserve">; European Union Agency for Fundamental Rights and European Court of Human Rights, </w:t>
      </w:r>
      <w:r>
        <w:rPr>
          <w:rStyle w:val="None"/>
          <w:rFonts w:ascii="Times New Roman" w:hAnsi="Times New Roman"/>
          <w:i/>
          <w:iCs/>
          <w:sz w:val="18"/>
          <w:szCs w:val="18"/>
        </w:rPr>
        <w:t>Mass Surveillance: ECtHR and CJEU Case-Law – Joint Factsheet</w:t>
      </w:r>
      <w:r>
        <w:rPr>
          <w:rStyle w:val="None"/>
          <w:rFonts w:ascii="Times New Roman" w:hAnsi="Times New Roman"/>
          <w:sz w:val="18"/>
          <w:szCs w:val="18"/>
        </w:rPr>
        <w:t xml:space="preserve"> (2 April 2025) </w:t>
      </w:r>
      <w:hyperlink r:id="rId7" w:history="1">
        <w:r>
          <w:rPr>
            <w:rStyle w:val="Hyperlink1"/>
            <w:rFonts w:eastAsia="Arial Unicode MS"/>
            <w:sz w:val="18"/>
            <w:szCs w:val="18"/>
          </w:rPr>
          <w:t>https://fra.europa.eu/sites/default/files/fra_uploads/ecthr-fra-2025-mass-surveillance_en.pdf</w:t>
        </w:r>
      </w:hyperlink>
      <w:r>
        <w:rPr>
          <w:sz w:val="18"/>
          <w:szCs w:val="18"/>
        </w:rPr>
        <w:t xml:space="preserve">. </w:t>
      </w:r>
    </w:p>
  </w:footnote>
  <w:footnote w:id="14">
    <w:p w14:paraId="2CA2295A"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sz w:val="18"/>
          <w:szCs w:val="18"/>
        </w:rPr>
        <w:t xml:space="preserve"> </w:t>
      </w:r>
      <w:r>
        <w:rPr>
          <w:rStyle w:val="None"/>
          <w:rFonts w:ascii="Times New Roman" w:hAnsi="Times New Roman"/>
          <w:i/>
          <w:iCs/>
          <w:sz w:val="18"/>
          <w:szCs w:val="18"/>
        </w:rPr>
        <w:t xml:space="preserve">See </w:t>
      </w:r>
      <w:r>
        <w:rPr>
          <w:rStyle w:val="None"/>
          <w:rFonts w:ascii="Times New Roman" w:hAnsi="Times New Roman"/>
          <w:sz w:val="18"/>
          <w:szCs w:val="18"/>
        </w:rPr>
        <w:t xml:space="preserve">Amnesty International 2021, </w:t>
      </w:r>
      <w:r>
        <w:rPr>
          <w:rStyle w:val="None"/>
          <w:rFonts w:ascii="Times New Roman" w:hAnsi="Times New Roman"/>
          <w:i/>
          <w:iCs/>
          <w:sz w:val="18"/>
          <w:szCs w:val="18"/>
        </w:rPr>
        <w:t xml:space="preserve">supra </w:t>
      </w:r>
      <w:r>
        <w:rPr>
          <w:rStyle w:val="None"/>
          <w:rFonts w:ascii="Times New Roman" w:hAnsi="Times New Roman"/>
          <w:sz w:val="18"/>
          <w:szCs w:val="18"/>
        </w:rPr>
        <w:t xml:space="preserve">note 8. </w:t>
      </w:r>
    </w:p>
  </w:footnote>
  <w:footnote w:id="15">
    <w:p w14:paraId="641923EE" w14:textId="77777777" w:rsidR="006517ED" w:rsidRDefault="006517ED" w:rsidP="006517ED">
      <w:pPr>
        <w:pStyle w:val="Default"/>
        <w:spacing w:before="0" w:line="240" w:lineRule="auto"/>
      </w:pPr>
      <w:r w:rsidRPr="006517ED">
        <w:rPr>
          <w:rStyle w:val="None"/>
          <w:rFonts w:ascii="Times New Roman" w:hAnsi="Times New Roman" w:cs="Times New Roman"/>
          <w:kern w:val="2"/>
          <w:sz w:val="18"/>
          <w:szCs w:val="18"/>
          <w:vertAlign w:val="superscript"/>
        </w:rPr>
        <w:footnoteRef/>
      </w:r>
      <w:r w:rsidRPr="006517ED">
        <w:rPr>
          <w:rStyle w:val="None"/>
          <w:rFonts w:ascii="Times New Roman" w:hAnsi="Times New Roman" w:cs="Times New Roman"/>
          <w:kern w:val="2"/>
          <w:sz w:val="18"/>
          <w:szCs w:val="18"/>
        </w:rPr>
        <w:t xml:space="preserve"> </w:t>
      </w:r>
      <w:r>
        <w:rPr>
          <w:rStyle w:val="None"/>
          <w:rFonts w:ascii="Times New Roman" w:hAnsi="Times New Roman"/>
          <w:kern w:val="2"/>
          <w:sz w:val="18"/>
          <w:szCs w:val="18"/>
        </w:rPr>
        <w:t xml:space="preserve">Ibid.; EPIC 2025, </w:t>
      </w:r>
      <w:r>
        <w:rPr>
          <w:rStyle w:val="None"/>
          <w:rFonts w:ascii="Times New Roman" w:hAnsi="Times New Roman"/>
          <w:i/>
          <w:iCs/>
          <w:kern w:val="2"/>
          <w:sz w:val="18"/>
          <w:szCs w:val="18"/>
        </w:rPr>
        <w:t xml:space="preserve">supra </w:t>
      </w:r>
      <w:r>
        <w:rPr>
          <w:rStyle w:val="None"/>
          <w:rFonts w:ascii="Times New Roman" w:hAnsi="Times New Roman"/>
          <w:kern w:val="2"/>
          <w:sz w:val="18"/>
          <w:szCs w:val="18"/>
        </w:rPr>
        <w:t xml:space="preserve">note 4 at pp. 26-28. </w:t>
      </w:r>
    </w:p>
  </w:footnote>
  <w:footnote w:id="16">
    <w:p w14:paraId="3384512E" w14:textId="77777777" w:rsidR="006517ED" w:rsidRDefault="006517ED" w:rsidP="006517ED">
      <w:pPr>
        <w:pStyle w:val="Default"/>
        <w:spacing w:before="0" w:line="240" w:lineRule="auto"/>
      </w:pPr>
      <w:r w:rsidRPr="006517ED">
        <w:rPr>
          <w:rStyle w:val="None"/>
          <w:rFonts w:ascii="Times New Roman" w:hAnsi="Times New Roman" w:cs="Times New Roman"/>
          <w:kern w:val="2"/>
          <w:sz w:val="18"/>
          <w:szCs w:val="18"/>
          <w:vertAlign w:val="superscript"/>
        </w:rPr>
        <w:footnoteRef/>
      </w:r>
      <w:r w:rsidRPr="006517ED">
        <w:rPr>
          <w:rStyle w:val="None"/>
          <w:rFonts w:ascii="Times New Roman" w:hAnsi="Times New Roman" w:cs="Times New Roman"/>
          <w:kern w:val="2"/>
          <w:sz w:val="18"/>
          <w:szCs w:val="18"/>
        </w:rPr>
        <w:t xml:space="preserve"> </w:t>
      </w:r>
      <w:r>
        <w:rPr>
          <w:rStyle w:val="None"/>
          <w:rFonts w:ascii="Times New Roman" w:hAnsi="Times New Roman"/>
          <w:kern w:val="2"/>
          <w:sz w:val="18"/>
          <w:szCs w:val="18"/>
        </w:rPr>
        <w:t xml:space="preserve">Szabó And Vissy v. Hungary [GC] App. No. 37138/14, para. 73 (12 January 2016). </w:t>
      </w:r>
    </w:p>
  </w:footnote>
  <w:footnote w:id="17">
    <w:p w14:paraId="762B24E1"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rStyle w:val="None"/>
          <w:rFonts w:ascii="Times New Roman" w:hAnsi="Times New Roman"/>
          <w:sz w:val="18"/>
          <w:szCs w:val="18"/>
        </w:rPr>
        <w:t xml:space="preserve"> Ibid. </w:t>
      </w:r>
    </w:p>
  </w:footnote>
  <w:footnote w:id="18">
    <w:p w14:paraId="7032BD67"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rStyle w:val="None"/>
          <w:rFonts w:ascii="Times New Roman" w:hAnsi="Times New Roman"/>
          <w:kern w:val="2"/>
          <w:sz w:val="18"/>
          <w:szCs w:val="18"/>
        </w:rPr>
        <w:t xml:space="preserve"> </w:t>
      </w:r>
      <w:r>
        <w:rPr>
          <w:rStyle w:val="None"/>
          <w:rFonts w:ascii="Times New Roman" w:hAnsi="Times New Roman"/>
          <w:sz w:val="18"/>
          <w:szCs w:val="18"/>
        </w:rPr>
        <w:t xml:space="preserve">Forbidden Stories, </w:t>
      </w:r>
      <w:r>
        <w:rPr>
          <w:rStyle w:val="None"/>
          <w:rFonts w:ascii="Times New Roman" w:hAnsi="Times New Roman"/>
          <w:i/>
          <w:iCs/>
          <w:sz w:val="18"/>
          <w:szCs w:val="18"/>
        </w:rPr>
        <w:t>The Pegasus Project: A Worldwide Collaboration to Counter a Global Crime (</w:t>
      </w:r>
      <w:r>
        <w:rPr>
          <w:rStyle w:val="None"/>
          <w:rFonts w:ascii="Times New Roman" w:hAnsi="Times New Roman"/>
          <w:sz w:val="18"/>
          <w:szCs w:val="18"/>
        </w:rPr>
        <w:t xml:space="preserve">July 2021) </w:t>
      </w:r>
      <w:hyperlink r:id="rId8" w:history="1">
        <w:r>
          <w:rPr>
            <w:rStyle w:val="Hyperlink1"/>
            <w:rFonts w:eastAsia="Arial Unicode MS"/>
            <w:sz w:val="18"/>
            <w:szCs w:val="18"/>
          </w:rPr>
          <w:t>https://forbiddenstories.org/the-pegasus-project-a-worldwide-collaboration-to-counter-a-global-crime/</w:t>
        </w:r>
      </w:hyperlink>
      <w:r>
        <w:rPr>
          <w:rStyle w:val="None"/>
          <w:rFonts w:ascii="Times New Roman" w:hAnsi="Times New Roman"/>
          <w:sz w:val="18"/>
          <w:szCs w:val="18"/>
        </w:rPr>
        <w:t xml:space="preserve">, </w:t>
      </w:r>
      <w:r>
        <w:rPr>
          <w:rStyle w:val="None"/>
          <w:rFonts w:ascii="Times New Roman" w:hAnsi="Times New Roman"/>
          <w:i/>
          <w:iCs/>
          <w:sz w:val="18"/>
          <w:szCs w:val="18"/>
        </w:rPr>
        <w:t>see also</w:t>
      </w:r>
      <w:r>
        <w:rPr>
          <w:rStyle w:val="None"/>
          <w:rFonts w:ascii="Times New Roman" w:hAnsi="Times New Roman"/>
          <w:sz w:val="18"/>
          <w:szCs w:val="18"/>
        </w:rPr>
        <w:t xml:space="preserve"> </w:t>
      </w:r>
      <w:r>
        <w:rPr>
          <w:rStyle w:val="None"/>
          <w:rFonts w:ascii="Times New Roman" w:hAnsi="Times New Roman"/>
          <w:i/>
          <w:iCs/>
          <w:sz w:val="18"/>
          <w:szCs w:val="18"/>
        </w:rPr>
        <w:t xml:space="preserve">infra </w:t>
      </w:r>
      <w:r>
        <w:rPr>
          <w:rStyle w:val="None"/>
          <w:rFonts w:ascii="Times New Roman" w:hAnsi="Times New Roman"/>
          <w:sz w:val="18"/>
          <w:szCs w:val="18"/>
        </w:rPr>
        <w:t>section IV(B) discussing the implications of how</w:t>
      </w:r>
      <w:r>
        <w:rPr>
          <w:rStyle w:val="None"/>
          <w:rFonts w:ascii="Times New Roman" w:hAnsi="Times New Roman"/>
          <w:i/>
          <w:iCs/>
          <w:sz w:val="18"/>
          <w:szCs w:val="18"/>
        </w:rPr>
        <w:t xml:space="preserve"> </w:t>
      </w:r>
      <w:r>
        <w:rPr>
          <w:rStyle w:val="None"/>
          <w:rFonts w:ascii="Times New Roman" w:hAnsi="Times New Roman"/>
          <w:sz w:val="18"/>
          <w:szCs w:val="18"/>
        </w:rPr>
        <w:t xml:space="preserve">Pegasus has typically been used on this analysis. </w:t>
      </w:r>
    </w:p>
  </w:footnote>
  <w:footnote w:id="19">
    <w:p w14:paraId="65990763"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rStyle w:val="None"/>
          <w:rFonts w:ascii="Times New Roman" w:hAnsi="Times New Roman"/>
          <w:sz w:val="18"/>
          <w:szCs w:val="18"/>
        </w:rPr>
        <w:t xml:space="preserve"> </w:t>
      </w:r>
      <w:r>
        <w:rPr>
          <w:rStyle w:val="None"/>
          <w:rFonts w:ascii="Times New Roman" w:hAnsi="Times New Roman"/>
          <w:i/>
          <w:iCs/>
          <w:sz w:val="18"/>
          <w:szCs w:val="18"/>
        </w:rPr>
        <w:t xml:space="preserve">See, e.g., </w:t>
      </w:r>
      <w:r>
        <w:rPr>
          <w:rStyle w:val="None"/>
          <w:rFonts w:ascii="Times New Roman" w:hAnsi="Times New Roman"/>
          <w:sz w:val="18"/>
          <w:szCs w:val="18"/>
        </w:rPr>
        <w:t>Klass and Others v. Germany [Plenary] App. No. 5029/71, para. 50 (6 September 1978); Roman Zakharov v. Russia [GC] App. No. 47143/06, paras 232-34 (4 December 2015).</w:t>
      </w:r>
    </w:p>
  </w:footnote>
  <w:footnote w:id="20">
    <w:p w14:paraId="3ABD3B41"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sidRPr="00476906">
        <w:rPr>
          <w:rStyle w:val="None"/>
          <w:rFonts w:ascii="Times New Roman" w:hAnsi="Times New Roman"/>
          <w:kern w:val="2"/>
          <w:sz w:val="18"/>
          <w:szCs w:val="18"/>
          <w:lang w:val="fr-CH"/>
        </w:rPr>
        <w:t xml:space="preserve"> Bărbulescu v. Romania, </w:t>
      </w:r>
      <w:r w:rsidRPr="00476906">
        <w:rPr>
          <w:rStyle w:val="None"/>
          <w:rFonts w:ascii="Times New Roman" w:hAnsi="Times New Roman"/>
          <w:i/>
          <w:iCs/>
          <w:kern w:val="2"/>
          <w:sz w:val="18"/>
          <w:szCs w:val="18"/>
          <w:lang w:val="fr-CH"/>
        </w:rPr>
        <w:t xml:space="preserve">supra </w:t>
      </w:r>
      <w:r w:rsidRPr="00476906">
        <w:rPr>
          <w:rStyle w:val="None"/>
          <w:rFonts w:ascii="Times New Roman" w:hAnsi="Times New Roman"/>
          <w:kern w:val="2"/>
          <w:sz w:val="18"/>
          <w:szCs w:val="18"/>
          <w:lang w:val="fr-CH"/>
        </w:rPr>
        <w:t xml:space="preserve">note 10 at para. </w:t>
      </w:r>
      <w:r>
        <w:rPr>
          <w:rStyle w:val="None"/>
          <w:rFonts w:ascii="Times New Roman" w:hAnsi="Times New Roman"/>
          <w:kern w:val="2"/>
          <w:sz w:val="18"/>
          <w:szCs w:val="18"/>
        </w:rPr>
        <w:t xml:space="preserve">121(iii). </w:t>
      </w:r>
    </w:p>
  </w:footnote>
  <w:footnote w:id="21">
    <w:p w14:paraId="089701BC"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rStyle w:val="None"/>
          <w:rFonts w:ascii="Times New Roman" w:hAnsi="Times New Roman"/>
          <w:kern w:val="2"/>
          <w:sz w:val="18"/>
          <w:szCs w:val="18"/>
        </w:rPr>
        <w:t xml:space="preserve"> Avkilina and Others v. Russia [First Section] App. No. 1585/09, para. 45 (6 June 2013).</w:t>
      </w:r>
    </w:p>
  </w:footnote>
  <w:footnote w:id="22">
    <w:p w14:paraId="242A49F6"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rStyle w:val="None"/>
          <w:rFonts w:ascii="Times New Roman" w:hAnsi="Times New Roman"/>
          <w:kern w:val="2"/>
          <w:sz w:val="18"/>
          <w:szCs w:val="18"/>
        </w:rPr>
        <w:t xml:space="preserve"> Glukhin v. Russia [Third Section] App. No. 11519/20, para. 86 (4 July 2023). </w:t>
      </w:r>
    </w:p>
  </w:footnote>
  <w:footnote w:id="23">
    <w:p w14:paraId="056432D8"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rStyle w:val="None"/>
          <w:rFonts w:ascii="Times New Roman" w:hAnsi="Times New Roman"/>
          <w:kern w:val="2"/>
          <w:sz w:val="18"/>
          <w:szCs w:val="18"/>
        </w:rPr>
        <w:t xml:space="preserve"> </w:t>
      </w:r>
      <w:r>
        <w:rPr>
          <w:rStyle w:val="None"/>
          <w:rFonts w:ascii="Times New Roman" w:hAnsi="Times New Roman"/>
          <w:i/>
          <w:iCs/>
          <w:kern w:val="2"/>
          <w:sz w:val="18"/>
          <w:szCs w:val="18"/>
        </w:rPr>
        <w:t xml:space="preserve">See, e.g., </w:t>
      </w:r>
      <w:r>
        <w:rPr>
          <w:rStyle w:val="None"/>
          <w:rFonts w:ascii="Times New Roman" w:hAnsi="Times New Roman"/>
          <w:kern w:val="2"/>
          <w:sz w:val="18"/>
          <w:szCs w:val="18"/>
        </w:rPr>
        <w:t xml:space="preserve">Evans v. the United Kingdom [GC] App. No. 6339/05, para. 71 (10 April 2007); Dudgeon v. the United Kingdom [Plenary] App. No. 7525/76, para. 41 (22 October 1981).  </w:t>
      </w:r>
    </w:p>
  </w:footnote>
  <w:footnote w:id="24">
    <w:p w14:paraId="6FFF3F17" w14:textId="77777777" w:rsidR="006517ED" w:rsidRDefault="006517ED" w:rsidP="006517ED">
      <w:pPr>
        <w:pStyle w:val="Default"/>
        <w:spacing w:before="0" w:line="240" w:lineRule="auto"/>
        <w:rPr>
          <w:rFonts w:ascii="Times New Roman" w:eastAsia="Times New Roman" w:hAnsi="Times New Roman" w:cs="Times New Roman"/>
          <w:sz w:val="18"/>
          <w:szCs w:val="18"/>
        </w:rPr>
      </w:pPr>
      <w:r>
        <w:rPr>
          <w:rStyle w:val="None"/>
          <w:rFonts w:ascii="Times New Roman" w:eastAsia="Times New Roman" w:hAnsi="Times New Roman" w:cs="Times New Roman"/>
          <w:sz w:val="18"/>
          <w:szCs w:val="18"/>
          <w:vertAlign w:val="superscript"/>
        </w:rPr>
        <w:footnoteRef/>
      </w:r>
      <w:r>
        <w:rPr>
          <w:rFonts w:ascii="Times New Roman" w:hAnsi="Times New Roman"/>
          <w:sz w:val="18"/>
          <w:szCs w:val="18"/>
        </w:rPr>
        <w:t xml:space="preserve"> See also Sven Herpig, ‘Schwachstellen- Management für mehr Sicherheit: Wie der Staat den Umgang</w:t>
      </w:r>
    </w:p>
    <w:p w14:paraId="2E243F28" w14:textId="77777777" w:rsidR="006517ED" w:rsidRDefault="006517ED" w:rsidP="006517ED">
      <w:pPr>
        <w:pStyle w:val="Default"/>
        <w:spacing w:before="0" w:line="240" w:lineRule="auto"/>
        <w:rPr>
          <w:rFonts w:ascii="Times New Roman" w:eastAsia="Times New Roman" w:hAnsi="Times New Roman" w:cs="Times New Roman"/>
          <w:sz w:val="18"/>
          <w:szCs w:val="18"/>
        </w:rPr>
      </w:pPr>
      <w:r>
        <w:rPr>
          <w:rFonts w:ascii="Times New Roman" w:hAnsi="Times New Roman"/>
          <w:sz w:val="18"/>
          <w:szCs w:val="18"/>
        </w:rPr>
        <w:t>mit Zero-Day-Schwachstellen regeln sollte’ (Stiftung Neue Verantwortung, August 2018)</w:t>
      </w:r>
    </w:p>
    <w:p w14:paraId="3F97A74A" w14:textId="77777777" w:rsidR="006517ED" w:rsidRDefault="006517ED" w:rsidP="006517ED">
      <w:pPr>
        <w:pStyle w:val="Default"/>
        <w:spacing w:before="0" w:line="240" w:lineRule="auto"/>
      </w:pPr>
      <w:r>
        <w:rPr>
          <w:rFonts w:ascii="Times New Roman" w:hAnsi="Times New Roman"/>
          <w:sz w:val="18"/>
          <w:szCs w:val="18"/>
        </w:rPr>
        <w:t xml:space="preserve">https://www.stiftung-nv.de/sites/default/files/vorschlag.schwachstellenmanagement.pdf. </w:t>
      </w:r>
    </w:p>
  </w:footnote>
  <w:footnote w:id="25">
    <w:p w14:paraId="37F99FD8"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Christine Goodwin v. the United Kingdom [GC], App. No. 28957/95, para. 90 (11 July 2002).</w:t>
      </w:r>
    </w:p>
  </w:footnote>
  <w:footnote w:id="26">
    <w:p w14:paraId="7E75F2C3"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Bărbulescu v. Romania </w:t>
      </w:r>
      <w:r>
        <w:rPr>
          <w:rStyle w:val="None"/>
          <w:rFonts w:ascii="Times New Roman" w:hAnsi="Times New Roman"/>
          <w:i/>
          <w:iCs/>
          <w:kern w:val="2"/>
          <w:sz w:val="18"/>
          <w:szCs w:val="18"/>
        </w:rPr>
        <w:t xml:space="preserve">supra </w:t>
      </w:r>
      <w:r>
        <w:rPr>
          <w:rStyle w:val="None"/>
          <w:rFonts w:ascii="Times New Roman" w:hAnsi="Times New Roman"/>
          <w:kern w:val="2"/>
          <w:sz w:val="18"/>
          <w:szCs w:val="18"/>
        </w:rPr>
        <w:t xml:space="preserve">note 10 at para. 70. </w:t>
      </w:r>
    </w:p>
  </w:footnote>
  <w:footnote w:id="27">
    <w:p w14:paraId="0DEF261E" w14:textId="77777777" w:rsidR="006517ED" w:rsidRDefault="006517ED" w:rsidP="006517ED">
      <w:pPr>
        <w:pStyle w:val="Default"/>
        <w:spacing w:before="0" w:line="240" w:lineRule="auto"/>
      </w:pPr>
      <w:r w:rsidRPr="006517ED">
        <w:rPr>
          <w:rStyle w:val="None"/>
          <w:rFonts w:ascii="Times New Roman" w:hAnsi="Times New Roman" w:cs="Times New Roman"/>
          <w:kern w:val="2"/>
          <w:sz w:val="18"/>
          <w:szCs w:val="18"/>
          <w:vertAlign w:val="superscript"/>
        </w:rPr>
        <w:footnoteRef/>
      </w:r>
      <w:r w:rsidRPr="006517ED">
        <w:rPr>
          <w:rStyle w:val="None"/>
          <w:rFonts w:ascii="Times New Roman" w:hAnsi="Times New Roman" w:cs="Times New Roman"/>
          <w:kern w:val="2"/>
          <w:sz w:val="18"/>
          <w:szCs w:val="18"/>
        </w:rPr>
        <w:t xml:space="preserve"> </w:t>
      </w:r>
      <w:r>
        <w:rPr>
          <w:rStyle w:val="None"/>
          <w:rFonts w:ascii="Times New Roman" w:hAnsi="Times New Roman"/>
          <w:kern w:val="2"/>
          <w:sz w:val="18"/>
          <w:szCs w:val="18"/>
        </w:rPr>
        <w:t xml:space="preserve">Podchasov v. Russia [Third Section] App. No. 33696/19, para. 77 (13 February 2024). </w:t>
      </w:r>
    </w:p>
  </w:footnote>
  <w:footnote w:id="28">
    <w:p w14:paraId="2A96095E" w14:textId="77777777" w:rsidR="006517ED" w:rsidRDefault="006517ED" w:rsidP="006517ED">
      <w:pPr>
        <w:pStyle w:val="Default"/>
        <w:spacing w:before="0" w:line="240" w:lineRule="auto"/>
      </w:pPr>
      <w:r>
        <w:rPr>
          <w:rStyle w:val="None"/>
          <w:rFonts w:ascii="Times New Roman" w:hAnsi="Times New Roman" w:cs="Times New Roman"/>
          <w:kern w:val="2"/>
          <w:sz w:val="18"/>
          <w:szCs w:val="18"/>
          <w:vertAlign w:val="superscript"/>
        </w:rPr>
        <w:footnoteRef/>
      </w:r>
      <w:r>
        <w:rPr>
          <w:rStyle w:val="None"/>
          <w:rFonts w:ascii="Times New Roman" w:hAnsi="Times New Roman" w:cs="Times New Roman"/>
          <w:kern w:val="2"/>
          <w:sz w:val="18"/>
          <w:szCs w:val="18"/>
        </w:rPr>
        <w:t xml:space="preserve"> </w:t>
      </w:r>
      <w:r>
        <w:rPr>
          <w:rStyle w:val="None"/>
          <w:rFonts w:ascii="Times New Roman" w:hAnsi="Times New Roman"/>
          <w:kern w:val="2"/>
          <w:sz w:val="18"/>
          <w:szCs w:val="18"/>
        </w:rPr>
        <w:t xml:space="preserve">Ibid. </w:t>
      </w:r>
    </w:p>
  </w:footnote>
  <w:footnote w:id="29">
    <w:p w14:paraId="58F22507" w14:textId="77777777" w:rsidR="006517ED" w:rsidRDefault="006517ED" w:rsidP="006517ED">
      <w:pPr>
        <w:pStyle w:val="Default"/>
        <w:spacing w:before="0" w:line="240" w:lineRule="auto"/>
      </w:pPr>
      <w:r>
        <w:rPr>
          <w:rStyle w:val="None"/>
          <w:rFonts w:ascii="Times New Roman" w:hAnsi="Times New Roman" w:cs="Times New Roman"/>
          <w:kern w:val="2"/>
          <w:sz w:val="18"/>
          <w:szCs w:val="18"/>
          <w:vertAlign w:val="superscript"/>
        </w:rPr>
        <w:footnoteRef/>
      </w:r>
      <w:r>
        <w:rPr>
          <w:rStyle w:val="None"/>
          <w:rFonts w:ascii="Times New Roman" w:hAnsi="Times New Roman" w:cs="Times New Roman"/>
          <w:kern w:val="2"/>
          <w:sz w:val="18"/>
          <w:szCs w:val="18"/>
        </w:rPr>
        <w:t xml:space="preserve"> </w:t>
      </w:r>
      <w:r>
        <w:rPr>
          <w:rStyle w:val="None"/>
          <w:rFonts w:ascii="Times New Roman" w:hAnsi="Times New Roman"/>
          <w:kern w:val="2"/>
          <w:sz w:val="18"/>
          <w:szCs w:val="18"/>
        </w:rPr>
        <w:t xml:space="preserve">Council of Europe, Commissioner for Human Rights, </w:t>
      </w:r>
      <w:r>
        <w:rPr>
          <w:rStyle w:val="None"/>
          <w:rFonts w:ascii="Times New Roman" w:hAnsi="Times New Roman"/>
          <w:i/>
          <w:iCs/>
          <w:kern w:val="2"/>
          <w:sz w:val="18"/>
          <w:szCs w:val="18"/>
        </w:rPr>
        <w:t xml:space="preserve">Highly intrusive spyware threatens the essence of human rights </w:t>
      </w:r>
      <w:r>
        <w:rPr>
          <w:rStyle w:val="None"/>
          <w:rFonts w:ascii="Times New Roman" w:hAnsi="Times New Roman"/>
          <w:kern w:val="2"/>
          <w:sz w:val="18"/>
          <w:szCs w:val="18"/>
        </w:rPr>
        <w:t xml:space="preserve">(27 January 2023) https://www.coe.int/en/web/commissioner/-/highly-intrusive-spyware-threatens-the-essence-of-human-rights. </w:t>
      </w:r>
    </w:p>
  </w:footnote>
  <w:footnote w:id="30">
    <w:p w14:paraId="5C835B21" w14:textId="77777777" w:rsidR="006517ED" w:rsidRDefault="006517ED" w:rsidP="006517ED">
      <w:pPr>
        <w:pStyle w:val="Default"/>
        <w:spacing w:before="0" w:line="240" w:lineRule="auto"/>
      </w:pPr>
      <w:r w:rsidRPr="006517ED">
        <w:rPr>
          <w:rStyle w:val="None"/>
          <w:rFonts w:ascii="Times New Roman" w:hAnsi="Times New Roman" w:cs="Times New Roman"/>
          <w:kern w:val="2"/>
          <w:sz w:val="18"/>
          <w:szCs w:val="18"/>
          <w:vertAlign w:val="superscript"/>
        </w:rPr>
        <w:footnoteRef/>
      </w:r>
      <w:r>
        <w:rPr>
          <w:rStyle w:val="None"/>
          <w:rFonts w:ascii="Times New Roman" w:hAnsi="Times New Roman"/>
          <w:kern w:val="2"/>
          <w:sz w:val="18"/>
          <w:szCs w:val="18"/>
        </w:rPr>
        <w:t xml:space="preserve"> Office of the UN High Commissioner for Human Rights, </w:t>
      </w:r>
      <w:r>
        <w:rPr>
          <w:rStyle w:val="None"/>
          <w:rFonts w:ascii="Times New Roman" w:hAnsi="Times New Roman"/>
          <w:i/>
          <w:iCs/>
          <w:kern w:val="2"/>
          <w:sz w:val="18"/>
          <w:szCs w:val="18"/>
        </w:rPr>
        <w:t>Report on the right to privacy in the digital age</w:t>
      </w:r>
      <w:r>
        <w:rPr>
          <w:rStyle w:val="None"/>
          <w:rFonts w:ascii="Times New Roman" w:hAnsi="Times New Roman"/>
          <w:kern w:val="2"/>
          <w:sz w:val="18"/>
          <w:szCs w:val="18"/>
        </w:rPr>
        <w:t xml:space="preserve">, UN Doc. A/HRC/51/17, paras 7, 19 (4 August 2022). </w:t>
      </w:r>
    </w:p>
  </w:footnote>
  <w:footnote w:id="31">
    <w:p w14:paraId="364BD5CF"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rFonts w:ascii="Times New Roman" w:hAnsi="Times New Roman"/>
          <w:sz w:val="18"/>
          <w:szCs w:val="18"/>
        </w:rPr>
        <w:t xml:space="preserve"> Bîrsan v. Romania [Second Section] App. No. 79917/13, para. 71 (2 February 2016).  </w:t>
      </w:r>
    </w:p>
  </w:footnote>
  <w:footnote w:id="32">
    <w:p w14:paraId="1656315B"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rFonts w:ascii="Times New Roman" w:hAnsi="Times New Roman"/>
          <w:sz w:val="18"/>
          <w:szCs w:val="18"/>
        </w:rPr>
        <w:t xml:space="preserve"> Mozer v. the Republic of Moldova and Russia [GC] App. No. 11138/10, para. 222 (23 February 2016). </w:t>
      </w:r>
    </w:p>
  </w:footnote>
  <w:footnote w:id="33">
    <w:p w14:paraId="03B02AA8" w14:textId="77777777" w:rsidR="006517ED" w:rsidRDefault="006517ED" w:rsidP="006517ED">
      <w:pPr>
        <w:pStyle w:val="Default"/>
        <w:spacing w:before="0" w:line="240" w:lineRule="auto"/>
        <w:jc w:val="both"/>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color w:val="212121"/>
          <w:kern w:val="2"/>
          <w:sz w:val="18"/>
          <w:szCs w:val="18"/>
        </w:rPr>
        <w:t xml:space="preserve"> </w:t>
      </w:r>
      <w:r>
        <w:rPr>
          <w:rStyle w:val="None"/>
          <w:rFonts w:ascii="Times New Roman" w:hAnsi="Times New Roman"/>
          <w:color w:val="212121"/>
          <w:sz w:val="18"/>
          <w:szCs w:val="18"/>
        </w:rPr>
        <w:t>Maggio and Others v. Italy [Second Section], App. Nos 46286/09, 52851/08,53727/08, 54486/08 and 56001/08, para. 6 (31 May 2011); </w:t>
      </w:r>
      <w:r>
        <w:rPr>
          <w:rStyle w:val="None"/>
          <w:rFonts w:ascii="Times New Roman" w:hAnsi="Times New Roman"/>
          <w:i/>
          <w:iCs/>
          <w:color w:val="212121"/>
          <w:sz w:val="18"/>
          <w:szCs w:val="18"/>
        </w:rPr>
        <w:t xml:space="preserve">See additionally, </w:t>
      </w:r>
      <w:r>
        <w:rPr>
          <w:rStyle w:val="None"/>
          <w:rFonts w:ascii="Times New Roman" w:hAnsi="Times New Roman"/>
          <w:color w:val="212121"/>
          <w:sz w:val="18"/>
          <w:szCs w:val="18"/>
        </w:rPr>
        <w:t xml:space="preserve">ECHR Art. 17 Guide at para. 17. </w:t>
      </w:r>
    </w:p>
  </w:footnote>
  <w:footnote w:id="34">
    <w:p w14:paraId="18612428" w14:textId="77777777" w:rsidR="006517ED" w:rsidRDefault="006517ED" w:rsidP="006517ED">
      <w:pPr>
        <w:pStyle w:val="Default"/>
        <w:spacing w:before="0" w:line="240" w:lineRule="auto"/>
      </w:pPr>
      <w:r>
        <w:rPr>
          <w:rStyle w:val="None"/>
          <w:kern w:val="2"/>
          <w:sz w:val="18"/>
          <w:szCs w:val="18"/>
          <w:vertAlign w:val="superscript"/>
        </w:rPr>
        <w:footnoteRef/>
      </w:r>
      <w:r>
        <w:rPr>
          <w:rStyle w:val="None"/>
          <w:rFonts w:ascii="Times New Roman" w:hAnsi="Times New Roman"/>
          <w:kern w:val="2"/>
          <w:sz w:val="18"/>
          <w:szCs w:val="18"/>
        </w:rPr>
        <w:t xml:space="preserve"> Regner v. the Czech Republic [GC] App. No. 35289/11 (Serghides, J., dissenting) (Sept. 19, 2017).</w:t>
      </w:r>
    </w:p>
  </w:footnote>
  <w:footnote w:id="35">
    <w:p w14:paraId="61B4E40D"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European Commission of Human Rights, </w:t>
      </w:r>
      <w:r>
        <w:rPr>
          <w:rStyle w:val="None"/>
          <w:rFonts w:ascii="Times New Roman" w:hAnsi="Times New Roman"/>
          <w:i/>
          <w:iCs/>
          <w:sz w:val="18"/>
          <w:szCs w:val="18"/>
        </w:rPr>
        <w:t>Preparatory Work on Article 17 of the Convention</w:t>
      </w:r>
      <w:r>
        <w:rPr>
          <w:rFonts w:ascii="Times New Roman" w:hAnsi="Times New Roman"/>
          <w:sz w:val="18"/>
          <w:szCs w:val="18"/>
        </w:rPr>
        <w:t>, A.33.51 (23 April 1957)</w:t>
      </w:r>
      <w:r>
        <w:rPr>
          <w:rStyle w:val="None"/>
          <w:rFonts w:ascii="Times New Roman" w:hAnsi="Times New Roman"/>
          <w:i/>
          <w:iCs/>
          <w:sz w:val="18"/>
          <w:szCs w:val="18"/>
        </w:rPr>
        <w:t xml:space="preserve"> </w:t>
      </w:r>
      <w:hyperlink r:id="rId9" w:history="1">
        <w:r>
          <w:rPr>
            <w:rStyle w:val="Hyperlink7"/>
            <w:rFonts w:ascii="Times New Roman" w:hAnsi="Times New Roman"/>
            <w:sz w:val="18"/>
            <w:szCs w:val="18"/>
          </w:rPr>
          <w:t>https://www.echr.coe.int/documents/d/echr/echrtravaux-art17-dh-57-4-bil1675501</w:t>
        </w:r>
      </w:hyperlink>
      <w:r>
        <w:rPr>
          <w:rStyle w:val="None"/>
          <w:rFonts w:ascii="Times New Roman" w:hAnsi="Times New Roman"/>
          <w:kern w:val="2"/>
          <w:sz w:val="18"/>
          <w:szCs w:val="18"/>
        </w:rPr>
        <w:t xml:space="preserve">. </w:t>
      </w:r>
    </w:p>
  </w:footnote>
  <w:footnote w:id="36">
    <w:p w14:paraId="739DB889" w14:textId="77777777" w:rsidR="006517ED" w:rsidRDefault="006517ED" w:rsidP="006517ED">
      <w:pPr>
        <w:pStyle w:val="Default"/>
        <w:spacing w:before="0" w:line="240" w:lineRule="auto"/>
        <w:jc w:val="both"/>
      </w:pPr>
      <w:r>
        <w:rPr>
          <w:rStyle w:val="None"/>
          <w:rFonts w:ascii="Times New Roman" w:eastAsia="Times New Roman" w:hAnsi="Times New Roman" w:cs="Times New Roman"/>
          <w:color w:val="212121"/>
          <w:sz w:val="18"/>
          <w:szCs w:val="18"/>
          <w:vertAlign w:val="superscript"/>
        </w:rPr>
        <w:footnoteRef/>
      </w:r>
      <w:r>
        <w:rPr>
          <w:rStyle w:val="None"/>
          <w:rFonts w:ascii="Times New Roman" w:hAnsi="Times New Roman"/>
          <w:kern w:val="2"/>
          <w:sz w:val="18"/>
          <w:szCs w:val="18"/>
        </w:rPr>
        <w:t xml:space="preserve"> </w:t>
      </w:r>
      <w:r>
        <w:rPr>
          <w:rStyle w:val="None"/>
          <w:rFonts w:ascii="Times New Roman" w:hAnsi="Times New Roman"/>
          <w:color w:val="212121"/>
          <w:sz w:val="18"/>
          <w:szCs w:val="18"/>
        </w:rPr>
        <w:t xml:space="preserve">The text of Article 17 explicitly speaks of conduct that is “aimed at” the destruction or limitation of rights and freedoms, emphasizing the need for intentionality in respect of the respondent state’s acts. Convention for the Protection of Human Rights and Fundamental Freedoms, Nov. 4, 1950, E.T.S. No. 5, 213 U.N.T.S. 222.. </w:t>
      </w:r>
    </w:p>
  </w:footnote>
  <w:footnote w:id="37">
    <w:p w14:paraId="04BD5C9B" w14:textId="77777777" w:rsidR="006517ED" w:rsidRDefault="006517ED" w:rsidP="006517ED">
      <w:pPr>
        <w:pStyle w:val="Default"/>
        <w:spacing w:before="0" w:line="240" w:lineRule="auto"/>
      </w:pPr>
      <w:r>
        <w:rPr>
          <w:rStyle w:val="None"/>
          <w:rFonts w:ascii="Times New Roman" w:eastAsia="Times New Roman" w:hAnsi="Times New Roman" w:cs="Times New Roman"/>
          <w:color w:val="212121"/>
          <w:sz w:val="18"/>
          <w:szCs w:val="18"/>
          <w:vertAlign w:val="superscript"/>
        </w:rPr>
        <w:footnoteRef/>
      </w:r>
      <w:r>
        <w:rPr>
          <w:rStyle w:val="None"/>
          <w:rFonts w:ascii="Times New Roman" w:hAnsi="Times New Roman"/>
          <w:kern w:val="2"/>
          <w:sz w:val="18"/>
          <w:szCs w:val="18"/>
        </w:rPr>
        <w:t xml:space="preserve"> Maggio v. Italy, </w:t>
      </w:r>
      <w:r>
        <w:rPr>
          <w:rStyle w:val="None"/>
          <w:rFonts w:ascii="Times New Roman" w:hAnsi="Times New Roman"/>
          <w:i/>
          <w:iCs/>
          <w:kern w:val="2"/>
          <w:sz w:val="18"/>
          <w:szCs w:val="18"/>
        </w:rPr>
        <w:t xml:space="preserve">supra </w:t>
      </w:r>
      <w:r>
        <w:rPr>
          <w:rStyle w:val="None"/>
          <w:rFonts w:ascii="Times New Roman" w:hAnsi="Times New Roman"/>
          <w:kern w:val="2"/>
          <w:sz w:val="18"/>
          <w:szCs w:val="18"/>
        </w:rPr>
        <w:t xml:space="preserve">note 33 at para. 6. </w:t>
      </w:r>
    </w:p>
  </w:footnote>
  <w:footnote w:id="38">
    <w:p w14:paraId="6F964B19" w14:textId="77777777" w:rsidR="006517ED" w:rsidRDefault="006517ED" w:rsidP="006517ED">
      <w:pPr>
        <w:pStyle w:val="Default"/>
        <w:spacing w:before="0" w:line="240" w:lineRule="auto"/>
      </w:pPr>
      <w:r>
        <w:rPr>
          <w:rStyle w:val="None"/>
          <w:rFonts w:ascii="Times New Roman" w:eastAsia="Times New Roman" w:hAnsi="Times New Roman" w:cs="Times New Roman"/>
          <w:color w:val="212121"/>
          <w:sz w:val="18"/>
          <w:szCs w:val="18"/>
          <w:vertAlign w:val="superscript"/>
        </w:rPr>
        <w:footnoteRef/>
      </w:r>
      <w:r>
        <w:rPr>
          <w:rStyle w:val="None"/>
          <w:rFonts w:ascii="Times New Roman" w:hAnsi="Times New Roman"/>
          <w:kern w:val="2"/>
          <w:sz w:val="18"/>
          <w:szCs w:val="18"/>
        </w:rPr>
        <w:t xml:space="preserve"> Mozer v. Republic of Moldova and Russia, </w:t>
      </w:r>
      <w:r>
        <w:rPr>
          <w:rStyle w:val="None"/>
          <w:rFonts w:ascii="Times New Roman" w:hAnsi="Times New Roman"/>
          <w:i/>
          <w:iCs/>
          <w:kern w:val="2"/>
          <w:sz w:val="18"/>
          <w:szCs w:val="18"/>
        </w:rPr>
        <w:t xml:space="preserve">supra </w:t>
      </w:r>
      <w:r>
        <w:rPr>
          <w:rStyle w:val="None"/>
          <w:rFonts w:ascii="Times New Roman" w:hAnsi="Times New Roman"/>
          <w:kern w:val="2"/>
          <w:sz w:val="18"/>
          <w:szCs w:val="18"/>
        </w:rPr>
        <w:t xml:space="preserve">note 32 at paras 222-223. </w:t>
      </w:r>
    </w:p>
  </w:footnote>
  <w:footnote w:id="39">
    <w:p w14:paraId="73CBDF09"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WA Schabas, The European Convention on Human Rights: A Commentary, p. 623 (2015). </w:t>
      </w:r>
    </w:p>
  </w:footnote>
  <w:footnote w:id="40">
    <w:p w14:paraId="6F385E44"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Style w:val="None"/>
          <w:rFonts w:ascii="Times New Roman" w:hAnsi="Times New Roman"/>
          <w:i/>
          <w:iCs/>
          <w:kern w:val="2"/>
          <w:sz w:val="18"/>
          <w:szCs w:val="18"/>
        </w:rPr>
        <w:t xml:space="preserve">See, e.g., </w:t>
      </w:r>
      <w:r>
        <w:rPr>
          <w:rStyle w:val="None"/>
          <w:rFonts w:ascii="Times New Roman" w:hAnsi="Times New Roman"/>
          <w:kern w:val="2"/>
          <w:sz w:val="18"/>
          <w:szCs w:val="18"/>
        </w:rPr>
        <w:t>Khodorkovskiy v. Russia [Former First Section] App. No. 5829/04,  para. 255 (31 May 2011); Lutsenko v. Ukraine [GC] App. No. 6492/11, para. 106 (3 July 2012)</w:t>
      </w:r>
      <w:r w:rsidRPr="00476906">
        <w:rPr>
          <w:rStyle w:val="None"/>
          <w:rFonts w:ascii="Times New Roman" w:hAnsi="Times New Roman"/>
          <w:kern w:val="2"/>
          <w:sz w:val="18"/>
          <w:szCs w:val="18"/>
        </w:rPr>
        <w:t xml:space="preserve">; Tymoshenko v. Ukraine [Fifth Section] App. No. 26951/23, para. </w:t>
      </w:r>
      <w:r>
        <w:rPr>
          <w:rStyle w:val="None"/>
          <w:rFonts w:ascii="Times New Roman" w:hAnsi="Times New Roman"/>
          <w:kern w:val="2"/>
          <w:sz w:val="18"/>
          <w:szCs w:val="18"/>
        </w:rPr>
        <w:t xml:space="preserve">294 (20 March 2025); Khodorkovskiy and Lebedev v. Russia [First Section] App. Nos 11082/06 and 13772/05, para. 899 (25 July 2013); Ilgar Mammadov v. Azerbaijan [First Section] App. No. 15172/13, para. 137 (22 May 2014); Rasul Jafarov v. Azerbaijan [Fifth Section] App. No. 69981/4,  para. 153 (17 March 2016). </w:t>
      </w:r>
    </w:p>
  </w:footnote>
  <w:footnote w:id="41">
    <w:p w14:paraId="60855C99"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Merashibivili v. Georgia [GC] App. No. 72508/13, para. 244; </w:t>
      </w:r>
      <w:r>
        <w:rPr>
          <w:rStyle w:val="None"/>
          <w:rFonts w:ascii="Times New Roman" w:hAnsi="Times New Roman"/>
          <w:i/>
          <w:iCs/>
          <w:sz w:val="18"/>
          <w:szCs w:val="18"/>
        </w:rPr>
        <w:t>see also</w:t>
      </w:r>
      <w:r>
        <w:rPr>
          <w:rFonts w:ascii="Times New Roman" w:hAnsi="Times New Roman"/>
          <w:sz w:val="18"/>
          <w:szCs w:val="18"/>
        </w:rPr>
        <w:t xml:space="preserve">  Heri, Corina, </w:t>
      </w:r>
      <w:r>
        <w:rPr>
          <w:rStyle w:val="None"/>
          <w:rFonts w:ascii="Times New Roman" w:hAnsi="Times New Roman"/>
          <w:i/>
          <w:iCs/>
          <w:sz w:val="18"/>
          <w:szCs w:val="18"/>
        </w:rPr>
        <w:t>Loyalty, Subsidiarity, and Article 18 echr: How the ECtHR Deals with Mala Fide Limitations of Rights</w:t>
      </w:r>
      <w:r>
        <w:rPr>
          <w:rFonts w:ascii="Times New Roman" w:hAnsi="Times New Roman"/>
          <w:sz w:val="18"/>
          <w:szCs w:val="18"/>
        </w:rPr>
        <w:t xml:space="preserve">, European Convention on Human Rights Law Review 1, 1 (2020): 25-61, doi: </w:t>
      </w:r>
      <w:hyperlink r:id="rId10" w:history="1">
        <w:r>
          <w:rPr>
            <w:rStyle w:val="Hyperlink8"/>
            <w:rFonts w:ascii="Times New Roman" w:hAnsi="Times New Roman"/>
            <w:sz w:val="18"/>
            <w:szCs w:val="18"/>
          </w:rPr>
          <w:t>https://doi.org/10.1163/26663236-00101001</w:t>
        </w:r>
      </w:hyperlink>
      <w:r>
        <w:rPr>
          <w:rFonts w:ascii="Times New Roman" w:hAnsi="Times New Roman"/>
          <w:sz w:val="18"/>
          <w:szCs w:val="18"/>
        </w:rPr>
        <w:t xml:space="preserve">. </w:t>
      </w:r>
    </w:p>
  </w:footnote>
  <w:footnote w:id="42">
    <w:p w14:paraId="773E4A32"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Merashibivili v. Georgia, </w:t>
      </w:r>
      <w:r>
        <w:rPr>
          <w:rStyle w:val="None"/>
          <w:rFonts w:ascii="Times New Roman" w:hAnsi="Times New Roman"/>
          <w:i/>
          <w:iCs/>
          <w:kern w:val="2"/>
          <w:sz w:val="18"/>
          <w:szCs w:val="18"/>
        </w:rPr>
        <w:t xml:space="preserve">supra </w:t>
      </w:r>
      <w:r>
        <w:rPr>
          <w:rStyle w:val="None"/>
          <w:rFonts w:ascii="Times New Roman" w:hAnsi="Times New Roman"/>
          <w:kern w:val="2"/>
          <w:sz w:val="18"/>
          <w:szCs w:val="18"/>
        </w:rPr>
        <w:t xml:space="preserve">note 41 at para. 303. </w:t>
      </w:r>
    </w:p>
  </w:footnote>
  <w:footnote w:id="43">
    <w:p w14:paraId="2BB16098"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Citizen Lab, University of Toronto, </w:t>
      </w:r>
      <w:r>
        <w:rPr>
          <w:rStyle w:val="None"/>
          <w:rFonts w:ascii="Times New Roman" w:hAnsi="Times New Roman"/>
          <w:i/>
          <w:iCs/>
          <w:sz w:val="18"/>
          <w:szCs w:val="18"/>
        </w:rPr>
        <w:t xml:space="preserve">NSO Group’s iPhone Zero-Days used against a UAE human rights defender, </w:t>
      </w:r>
      <w:r>
        <w:rPr>
          <w:rFonts w:ascii="Times New Roman" w:hAnsi="Times New Roman"/>
          <w:sz w:val="18"/>
          <w:szCs w:val="18"/>
        </w:rPr>
        <w:t xml:space="preserve">(2016) </w:t>
      </w:r>
      <w:hyperlink r:id="rId11" w:history="1">
        <w:r>
          <w:rPr>
            <w:rStyle w:val="Hyperlink7"/>
            <w:rFonts w:ascii="Times New Roman" w:hAnsi="Times New Roman"/>
            <w:sz w:val="18"/>
            <w:szCs w:val="18"/>
          </w:rPr>
          <w:t>https://citizenlab.ca/research/million-dollar-dissident-iphone-zero-day-nso-group-uae/</w:t>
        </w:r>
      </w:hyperlink>
      <w:r>
        <w:rPr>
          <w:rFonts w:ascii="Times New Roman" w:hAnsi="Times New Roman"/>
          <w:sz w:val="18"/>
          <w:szCs w:val="18"/>
        </w:rPr>
        <w:t xml:space="preserve"> (Citizen Lab 2016). </w:t>
      </w:r>
    </w:p>
  </w:footnote>
  <w:footnote w:id="44">
    <w:p w14:paraId="4ED36795"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European Parliament, </w:t>
      </w:r>
      <w:r>
        <w:rPr>
          <w:rStyle w:val="None"/>
          <w:rFonts w:ascii="Times New Roman" w:hAnsi="Times New Roman"/>
          <w:i/>
          <w:iCs/>
          <w:kern w:val="2"/>
          <w:sz w:val="18"/>
          <w:szCs w:val="18"/>
        </w:rPr>
        <w:t xml:space="preserve">Committee of Inquiry to investigate the use of Pegasus and equivalent surveillance spyware </w:t>
      </w:r>
      <w:r>
        <w:rPr>
          <w:rStyle w:val="None"/>
          <w:rFonts w:ascii="Times New Roman" w:hAnsi="Times New Roman"/>
          <w:kern w:val="2"/>
          <w:sz w:val="18"/>
          <w:szCs w:val="18"/>
        </w:rPr>
        <w:t xml:space="preserve">(8 November 2022) </w:t>
      </w:r>
      <w:hyperlink r:id="rId12" w:history="1">
        <w:r>
          <w:rPr>
            <w:rStyle w:val="Hyperlink7"/>
            <w:rFonts w:ascii="Times New Roman" w:hAnsi="Times New Roman"/>
            <w:sz w:val="18"/>
            <w:szCs w:val="18"/>
          </w:rPr>
          <w:t>https://www.politico.eu/wp-content/uploads/2022/11/08/PEGA-draft-report-final-8-1117473.pdf</w:t>
        </w:r>
      </w:hyperlink>
      <w:r>
        <w:rPr>
          <w:rStyle w:val="None"/>
          <w:rFonts w:ascii="Times New Roman" w:hAnsi="Times New Roman"/>
          <w:kern w:val="2"/>
          <w:sz w:val="18"/>
          <w:szCs w:val="18"/>
        </w:rPr>
        <w:t xml:space="preserve">. </w:t>
      </w:r>
    </w:p>
  </w:footnote>
  <w:footnote w:id="45">
    <w:p w14:paraId="1F399A18" w14:textId="77777777" w:rsidR="006517ED" w:rsidRDefault="006517ED" w:rsidP="006517ED">
      <w:pPr>
        <w:pStyle w:val="Default"/>
        <w:spacing w:before="0" w:line="240" w:lineRule="auto"/>
        <w:rPr>
          <w:rStyle w:val="None"/>
          <w:rFonts w:ascii="Times New Roman" w:eastAsia="Times New Roman" w:hAnsi="Times New Roman" w:cs="Times New Roman"/>
          <w:kern w:val="2"/>
          <w:sz w:val="18"/>
          <w:szCs w:val="18"/>
        </w:rPr>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United Nations Office of the High Commissioner of Human Rights, </w:t>
      </w:r>
      <w:r>
        <w:rPr>
          <w:rStyle w:val="None"/>
          <w:rFonts w:ascii="Times New Roman" w:hAnsi="Times New Roman"/>
          <w:i/>
          <w:iCs/>
          <w:sz w:val="18"/>
          <w:szCs w:val="18"/>
        </w:rPr>
        <w:t xml:space="preserve">Spyware scandal: UN experts call for moratorium on sale of ‘life threatening’ surveillance tech </w:t>
      </w:r>
      <w:r>
        <w:rPr>
          <w:rFonts w:ascii="Times New Roman" w:hAnsi="Times New Roman"/>
          <w:sz w:val="18"/>
          <w:szCs w:val="18"/>
        </w:rPr>
        <w:t>(12 August 2021)</w:t>
      </w:r>
      <w:r>
        <w:rPr>
          <w:rStyle w:val="None"/>
          <w:rFonts w:ascii="Times New Roman" w:hAnsi="Times New Roman"/>
          <w:sz w:val="18"/>
          <w:szCs w:val="18"/>
          <w:shd w:val="clear" w:color="auto" w:fill="FFFFFF"/>
        </w:rPr>
        <w:t xml:space="preserve"> </w:t>
      </w:r>
      <w:r>
        <w:rPr>
          <w:rStyle w:val="None"/>
          <w:rFonts w:ascii="Times New Roman" w:hAnsi="Times New Roman"/>
          <w:kern w:val="2"/>
          <w:sz w:val="18"/>
          <w:szCs w:val="18"/>
        </w:rPr>
        <w:t>https://www.ohchr.org/en/press-releases/2021/08/spyware-scandal-un-experts-call-moratorium-sale-life-threatening; United Nations General Assembly, Surveillance and human rights,</w:t>
      </w:r>
    </w:p>
    <w:p w14:paraId="7FD951D2" w14:textId="77777777" w:rsidR="006517ED" w:rsidRDefault="006517ED" w:rsidP="006517ED">
      <w:pPr>
        <w:pStyle w:val="Default"/>
        <w:suppressAutoHyphens/>
        <w:spacing w:before="0"/>
        <w:rPr>
          <w:color w:val="auto"/>
        </w:rPr>
      </w:pPr>
      <w:r>
        <w:rPr>
          <w:rStyle w:val="None"/>
          <w:rFonts w:ascii="Times New Roman" w:hAnsi="Times New Roman"/>
          <w:color w:val="auto"/>
          <w:kern w:val="2"/>
          <w:sz w:val="18"/>
          <w:szCs w:val="18"/>
        </w:rPr>
        <w:t>Report of the Special Rapporteur on the promotion and protection of the right to freedom of opinion and expression (</w:t>
      </w:r>
      <w:r>
        <w:rPr>
          <w:rFonts w:ascii="Times New Roman" w:hAnsi="Times New Roman"/>
          <w:color w:val="auto"/>
          <w:sz w:val="18"/>
          <w:szCs w:val="18"/>
        </w:rPr>
        <w:t>A/HRC/41/35, 28 May 2019)</w:t>
      </w:r>
      <w:r>
        <w:rPr>
          <w:rStyle w:val="None"/>
          <w:rFonts w:ascii="Times New Roman" w:hAnsi="Times New Roman"/>
          <w:color w:val="auto"/>
          <w:kern w:val="2"/>
          <w:sz w:val="18"/>
          <w:szCs w:val="18"/>
        </w:rPr>
        <w:t xml:space="preserve"> </w:t>
      </w:r>
      <w:hyperlink r:id="rId13" w:history="1">
        <w:r>
          <w:rPr>
            <w:rStyle w:val="Hyperlink7"/>
            <w:rFonts w:ascii="Times New Roman" w:hAnsi="Times New Roman"/>
            <w:sz w:val="18"/>
            <w:szCs w:val="18"/>
          </w:rPr>
          <w:t>https://docs.un.org/en/A/HRC/41/35</w:t>
        </w:r>
      </w:hyperlink>
      <w:r>
        <w:rPr>
          <w:rStyle w:val="None"/>
          <w:rFonts w:ascii="Times New Roman" w:hAnsi="Times New Roman"/>
          <w:color w:val="auto"/>
          <w:kern w:val="2"/>
          <w:sz w:val="18"/>
          <w:szCs w:val="18"/>
        </w:rPr>
        <w:t>.</w:t>
      </w:r>
    </w:p>
  </w:footnote>
  <w:footnote w:id="46">
    <w:p w14:paraId="4F24F3F4"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Citizen Lab 2016, </w:t>
      </w:r>
      <w:r>
        <w:rPr>
          <w:rStyle w:val="None"/>
          <w:rFonts w:ascii="Times New Roman" w:hAnsi="Times New Roman"/>
          <w:i/>
          <w:iCs/>
          <w:kern w:val="2"/>
          <w:sz w:val="18"/>
          <w:szCs w:val="18"/>
        </w:rPr>
        <w:t xml:space="preserve">supra </w:t>
      </w:r>
      <w:r>
        <w:rPr>
          <w:rStyle w:val="None"/>
          <w:rFonts w:ascii="Times New Roman" w:hAnsi="Times New Roman"/>
          <w:kern w:val="2"/>
          <w:sz w:val="18"/>
          <w:szCs w:val="18"/>
        </w:rPr>
        <w:t xml:space="preserve">note 43. </w:t>
      </w:r>
    </w:p>
  </w:footnote>
  <w:footnote w:id="47">
    <w:p w14:paraId="57AFAB7C"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Fonts w:ascii="Times New Roman" w:hAnsi="Times New Roman"/>
          <w:sz w:val="18"/>
          <w:szCs w:val="18"/>
        </w:rPr>
        <w:t xml:space="preserve">Forbidden Stories, </w:t>
      </w:r>
      <w:r>
        <w:rPr>
          <w:rStyle w:val="None"/>
          <w:rFonts w:ascii="Times New Roman" w:hAnsi="Times New Roman"/>
          <w:i/>
          <w:iCs/>
          <w:sz w:val="18"/>
          <w:szCs w:val="18"/>
        </w:rPr>
        <w:t>The Pegasus Project: A Worldwide Collaboration to Counter a Global Crime</w:t>
      </w:r>
      <w:r>
        <w:rPr>
          <w:rFonts w:ascii="Times New Roman" w:hAnsi="Times New Roman"/>
          <w:sz w:val="18"/>
          <w:szCs w:val="18"/>
        </w:rPr>
        <w:t xml:space="preserve"> (July 2021) </w:t>
      </w:r>
      <w:hyperlink r:id="rId14" w:history="1">
        <w:r>
          <w:rPr>
            <w:rStyle w:val="Hyperlink9"/>
            <w:rFonts w:ascii="Times New Roman" w:hAnsi="Times New Roman"/>
            <w:sz w:val="18"/>
            <w:szCs w:val="18"/>
          </w:rPr>
          <w:t>https://forbiddenstories.org/the-pegasus-project-a-worldwide-collaboration-to-counter-a-global-crime/</w:t>
        </w:r>
      </w:hyperlink>
      <w:r>
        <w:rPr>
          <w:rFonts w:ascii="Times New Roman" w:hAnsi="Times New Roman"/>
          <w:sz w:val="18"/>
          <w:szCs w:val="18"/>
        </w:rPr>
        <w:t xml:space="preserve"> (Forbidden Stories 2021). </w:t>
      </w:r>
    </w:p>
  </w:footnote>
  <w:footnote w:id="48">
    <w:p w14:paraId="095297B5"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Amnesty International 2021, </w:t>
      </w:r>
      <w:r>
        <w:rPr>
          <w:rStyle w:val="None"/>
          <w:rFonts w:ascii="Times New Roman" w:hAnsi="Times New Roman"/>
          <w:i/>
          <w:iCs/>
          <w:kern w:val="2"/>
          <w:sz w:val="18"/>
          <w:szCs w:val="18"/>
        </w:rPr>
        <w:t xml:space="preserve">supra </w:t>
      </w:r>
      <w:r>
        <w:rPr>
          <w:rStyle w:val="None"/>
          <w:rFonts w:ascii="Times New Roman" w:hAnsi="Times New Roman"/>
          <w:kern w:val="2"/>
          <w:sz w:val="18"/>
          <w:szCs w:val="18"/>
        </w:rPr>
        <w:t xml:space="preserve">note 8, EDRi </w:t>
      </w:r>
      <w:r>
        <w:rPr>
          <w:rStyle w:val="None"/>
          <w:rFonts w:ascii="Times New Roman" w:hAnsi="Times New Roman"/>
          <w:i/>
          <w:iCs/>
          <w:kern w:val="2"/>
          <w:sz w:val="18"/>
          <w:szCs w:val="18"/>
        </w:rPr>
        <w:t xml:space="preserve">supra </w:t>
      </w:r>
      <w:r>
        <w:rPr>
          <w:rStyle w:val="None"/>
          <w:rFonts w:ascii="Times New Roman" w:hAnsi="Times New Roman"/>
          <w:kern w:val="2"/>
          <w:sz w:val="18"/>
          <w:szCs w:val="18"/>
        </w:rPr>
        <w:t xml:space="preserve">note 1, Privacy International, </w:t>
      </w:r>
      <w:r>
        <w:rPr>
          <w:rStyle w:val="None"/>
          <w:rFonts w:ascii="Times New Roman" w:hAnsi="Times New Roman"/>
          <w:i/>
          <w:iCs/>
          <w:kern w:val="2"/>
          <w:sz w:val="18"/>
          <w:szCs w:val="18"/>
        </w:rPr>
        <w:t>The Global Surveillance Industry</w:t>
      </w:r>
      <w:r>
        <w:rPr>
          <w:rStyle w:val="None"/>
          <w:rFonts w:ascii="Times New Roman" w:hAnsi="Times New Roman"/>
          <w:kern w:val="2"/>
          <w:sz w:val="18"/>
          <w:szCs w:val="18"/>
        </w:rPr>
        <w:t xml:space="preserve">, (16 February 2018) https://privacyinternational.org/explainer/1632/global-surveillance-industry. </w:t>
      </w:r>
    </w:p>
  </w:footnote>
  <w:footnote w:id="49">
    <w:p w14:paraId="40929E32"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Fonts w:ascii="Times New Roman" w:hAnsi="Times New Roman"/>
          <w:sz w:val="18"/>
          <w:szCs w:val="18"/>
        </w:rPr>
        <w:t xml:space="preserve">Kirchgaessner, Stephanie, The Guardian, </w:t>
      </w:r>
      <w:r>
        <w:rPr>
          <w:rStyle w:val="None"/>
          <w:rFonts w:ascii="Times New Roman" w:hAnsi="Times New Roman"/>
          <w:i/>
          <w:iCs/>
          <w:sz w:val="18"/>
          <w:szCs w:val="18"/>
        </w:rPr>
        <w:t>Saudis Behind NSO Spyware Attack on Jamal Khashoggi’s Family, Leak Suggests (</w:t>
      </w:r>
      <w:r>
        <w:rPr>
          <w:rFonts w:ascii="Times New Roman" w:hAnsi="Times New Roman"/>
          <w:sz w:val="18"/>
          <w:szCs w:val="18"/>
        </w:rPr>
        <w:t xml:space="preserve">July 18, 2021) </w:t>
      </w:r>
      <w:hyperlink r:id="rId15" w:history="1">
        <w:r>
          <w:rPr>
            <w:rStyle w:val="Hyperlink10"/>
            <w:rFonts w:ascii="Times New Roman" w:hAnsi="Times New Roman"/>
            <w:sz w:val="18"/>
            <w:szCs w:val="18"/>
          </w:rPr>
          <w:t>https://www.theguardian.com/world/2021/jul/18/nso-spyware-used-to-target-family-of-jamal-khashoggi-leaked-data-shows-saudis-pegasus</w:t>
        </w:r>
      </w:hyperlink>
      <w:r>
        <w:rPr>
          <w:rFonts w:ascii="Times New Roman" w:hAnsi="Times New Roman"/>
          <w:sz w:val="18"/>
          <w:szCs w:val="18"/>
        </w:rPr>
        <w:t>.</w:t>
      </w:r>
    </w:p>
  </w:footnote>
  <w:footnote w:id="50">
    <w:p w14:paraId="53CBBAC8"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Navalnyy v. Russia [GC] App. Nos </w:t>
      </w:r>
      <w:r>
        <w:rPr>
          <w:rFonts w:ascii="Times New Roman" w:hAnsi="Times New Roman"/>
          <w:sz w:val="18"/>
          <w:szCs w:val="18"/>
        </w:rPr>
        <w:t>29580/12</w:t>
      </w:r>
      <w:r>
        <w:rPr>
          <w:rStyle w:val="None"/>
          <w:rFonts w:ascii="Times New Roman" w:hAnsi="Times New Roman"/>
          <w:color w:val="333333"/>
          <w:sz w:val="18"/>
          <w:szCs w:val="18"/>
        </w:rPr>
        <w:t xml:space="preserve">, </w:t>
      </w:r>
      <w:r>
        <w:rPr>
          <w:rFonts w:ascii="Times New Roman" w:hAnsi="Times New Roman"/>
          <w:sz w:val="18"/>
          <w:szCs w:val="18"/>
        </w:rPr>
        <w:t>36847/12</w:t>
      </w:r>
      <w:r>
        <w:rPr>
          <w:rStyle w:val="None"/>
          <w:rFonts w:ascii="Times New Roman" w:hAnsi="Times New Roman"/>
          <w:color w:val="333333"/>
          <w:sz w:val="18"/>
          <w:szCs w:val="18"/>
        </w:rPr>
        <w:t xml:space="preserve">, </w:t>
      </w:r>
      <w:r>
        <w:rPr>
          <w:rFonts w:ascii="Times New Roman" w:hAnsi="Times New Roman"/>
          <w:sz w:val="18"/>
          <w:szCs w:val="18"/>
        </w:rPr>
        <w:t>11252/13</w:t>
      </w:r>
      <w:r>
        <w:rPr>
          <w:rStyle w:val="None"/>
          <w:rFonts w:ascii="Times New Roman" w:hAnsi="Times New Roman"/>
          <w:color w:val="333333"/>
          <w:sz w:val="18"/>
          <w:szCs w:val="18"/>
        </w:rPr>
        <w:t xml:space="preserve"> et al, partly concurring, partly dissenting opinion of judges Pejchal, Dedov, Ravarani, Eicke and Paczolay, p</w:t>
      </w:r>
      <w:r>
        <w:rPr>
          <w:rStyle w:val="None"/>
          <w:rFonts w:ascii="Times New Roman" w:hAnsi="Times New Roman"/>
          <w:kern w:val="2"/>
          <w:sz w:val="18"/>
          <w:szCs w:val="18"/>
        </w:rPr>
        <w:t xml:space="preserve">ara. 17 (15 November 2018). (Navalnyy 2018). </w:t>
      </w:r>
    </w:p>
  </w:footnote>
  <w:footnote w:id="51">
    <w:p w14:paraId="49C96399"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Ilia Siatitsa, </w:t>
      </w:r>
      <w:r>
        <w:rPr>
          <w:rStyle w:val="None"/>
          <w:rFonts w:ascii="Times New Roman" w:hAnsi="Times New Roman"/>
          <w:i/>
          <w:iCs/>
          <w:kern w:val="2"/>
          <w:sz w:val="18"/>
          <w:szCs w:val="18"/>
        </w:rPr>
        <w:t>Serious violations of human rights: On the emergence of a new special regime</w:t>
      </w:r>
      <w:r>
        <w:rPr>
          <w:rStyle w:val="None"/>
          <w:rFonts w:ascii="Times New Roman" w:hAnsi="Times New Roman"/>
          <w:kern w:val="2"/>
          <w:sz w:val="18"/>
          <w:szCs w:val="18"/>
        </w:rPr>
        <w:t>, OUP, pp. 44-52 (2022) (Siatista 2022).</w:t>
      </w:r>
    </w:p>
  </w:footnote>
  <w:footnote w:id="52">
    <w:p w14:paraId="4DFEAF5C" w14:textId="77777777" w:rsidR="006517ED" w:rsidRDefault="006517ED" w:rsidP="006517ED">
      <w:pPr>
        <w:pStyle w:val="BodyA"/>
        <w:spacing w:line="276"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Style w:val="None"/>
          <w:rFonts w:ascii="Times New Roman" w:hAnsi="Times New Roman"/>
          <w:kern w:val="2"/>
          <w:sz w:val="18"/>
          <w:szCs w:val="18"/>
          <w:lang w:val="pt-PT"/>
        </w:rPr>
        <w:t xml:space="preserve">Aslakhanova ao v. Russia [First Section] App. Nos </w:t>
      </w:r>
      <w:r>
        <w:rPr>
          <w:rFonts w:ascii="Times New Roman" w:hAnsi="Times New Roman"/>
          <w:sz w:val="18"/>
          <w:szCs w:val="18"/>
        </w:rPr>
        <w:t>2944/06</w:t>
      </w:r>
      <w:r>
        <w:rPr>
          <w:rStyle w:val="None"/>
          <w:rFonts w:ascii="Times New Roman" w:hAnsi="Times New Roman"/>
          <w:color w:val="333333"/>
          <w:sz w:val="18"/>
          <w:szCs w:val="18"/>
        </w:rPr>
        <w:t xml:space="preserve"> and </w:t>
      </w:r>
      <w:r>
        <w:rPr>
          <w:rFonts w:ascii="Times New Roman" w:hAnsi="Times New Roman"/>
          <w:sz w:val="18"/>
          <w:szCs w:val="18"/>
        </w:rPr>
        <w:t>8300/07</w:t>
      </w:r>
      <w:r>
        <w:rPr>
          <w:rStyle w:val="None"/>
          <w:rFonts w:ascii="Times New Roman" w:hAnsi="Times New Roman"/>
          <w:color w:val="333333"/>
          <w:sz w:val="18"/>
          <w:szCs w:val="18"/>
        </w:rPr>
        <w:t xml:space="preserve">, </w:t>
      </w:r>
      <w:r>
        <w:rPr>
          <w:rFonts w:ascii="Times New Roman" w:hAnsi="Times New Roman"/>
          <w:sz w:val="18"/>
          <w:szCs w:val="18"/>
        </w:rPr>
        <w:t>50184/07</w:t>
      </w:r>
      <w:r>
        <w:rPr>
          <w:rStyle w:val="None"/>
          <w:rFonts w:ascii="Times New Roman" w:hAnsi="Times New Roman"/>
          <w:color w:val="333333"/>
          <w:sz w:val="18"/>
          <w:szCs w:val="18"/>
        </w:rPr>
        <w:t xml:space="preserve">, </w:t>
      </w:r>
      <w:r>
        <w:rPr>
          <w:rFonts w:ascii="Times New Roman" w:hAnsi="Times New Roman"/>
          <w:sz w:val="18"/>
          <w:szCs w:val="18"/>
        </w:rPr>
        <w:t>332/08</w:t>
      </w:r>
      <w:r>
        <w:rPr>
          <w:rStyle w:val="None"/>
          <w:rFonts w:ascii="Times New Roman" w:hAnsi="Times New Roman"/>
          <w:color w:val="333333"/>
          <w:sz w:val="18"/>
          <w:szCs w:val="18"/>
        </w:rPr>
        <w:t xml:space="preserve">, </w:t>
      </w:r>
      <w:r>
        <w:rPr>
          <w:rFonts w:ascii="Times New Roman" w:hAnsi="Times New Roman"/>
          <w:sz w:val="18"/>
          <w:szCs w:val="18"/>
        </w:rPr>
        <w:t xml:space="preserve">42509/10, </w:t>
      </w:r>
      <w:r>
        <w:rPr>
          <w:rStyle w:val="None"/>
          <w:rFonts w:ascii="Times New Roman" w:hAnsi="Times New Roman"/>
          <w:kern w:val="2"/>
          <w:sz w:val="18"/>
          <w:szCs w:val="18"/>
          <w:lang w:val="pt-PT"/>
        </w:rPr>
        <w:t xml:space="preserve">para. 212 (18 December 2012); </w:t>
      </w:r>
      <w:r>
        <w:rPr>
          <w:rStyle w:val="None"/>
          <w:rFonts w:ascii="Times New Roman" w:hAnsi="Times New Roman"/>
          <w:kern w:val="2"/>
          <w:sz w:val="18"/>
          <w:szCs w:val="18"/>
        </w:rPr>
        <w:t>Georgia v. Russia (I) [GC]</w:t>
      </w:r>
      <w:r>
        <w:rPr>
          <w:rStyle w:val="None"/>
          <w:rFonts w:ascii="Times New Roman" w:hAnsi="Times New Roman"/>
          <w:i/>
          <w:iCs/>
          <w:kern w:val="2"/>
          <w:sz w:val="18"/>
          <w:szCs w:val="18"/>
        </w:rPr>
        <w:t xml:space="preserve"> </w:t>
      </w:r>
      <w:r>
        <w:rPr>
          <w:rStyle w:val="None"/>
          <w:rFonts w:ascii="Times New Roman" w:hAnsi="Times New Roman"/>
          <w:kern w:val="2"/>
          <w:sz w:val="18"/>
          <w:szCs w:val="18"/>
        </w:rPr>
        <w:t>App. No. 13255/07, para. 123 (3 July 2014)</w:t>
      </w:r>
      <w:r>
        <w:rPr>
          <w:rStyle w:val="None"/>
          <w:rFonts w:ascii="Times New Roman" w:hAnsi="Times New Roman"/>
          <w:kern w:val="2"/>
          <w:sz w:val="18"/>
          <w:szCs w:val="18"/>
          <w:lang w:val="pt-PT"/>
        </w:rPr>
        <w:t xml:space="preserve">; Cyprus v. Turkey [GC] App. No. 25781/94, para. 115 (10 May 2001), Ireland v. United Kingdom [Plenary] App. No. 5310/71, para. 159 (18 January 1978). </w:t>
      </w:r>
    </w:p>
  </w:footnote>
  <w:footnote w:id="53">
    <w:p w14:paraId="3E9A40E7"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lang w:val="fr-FR"/>
        </w:rPr>
        <w:footnoteRef/>
      </w:r>
      <w:r w:rsidRPr="00476906">
        <w:rPr>
          <w:rStyle w:val="None"/>
          <w:rFonts w:ascii="Times New Roman" w:hAnsi="Times New Roman"/>
          <w:kern w:val="2"/>
          <w:sz w:val="18"/>
          <w:szCs w:val="18"/>
        </w:rPr>
        <w:t xml:space="preserve"> Siatitsa 2022, </w:t>
      </w:r>
      <w:r w:rsidRPr="00476906">
        <w:rPr>
          <w:rStyle w:val="None"/>
          <w:rFonts w:ascii="Times New Roman" w:hAnsi="Times New Roman"/>
          <w:i/>
          <w:iCs/>
          <w:kern w:val="2"/>
          <w:sz w:val="18"/>
          <w:szCs w:val="18"/>
        </w:rPr>
        <w:t xml:space="preserve">supra </w:t>
      </w:r>
      <w:r w:rsidRPr="00476906">
        <w:rPr>
          <w:rStyle w:val="None"/>
          <w:rFonts w:ascii="Times New Roman" w:hAnsi="Times New Roman"/>
          <w:kern w:val="2"/>
          <w:sz w:val="18"/>
          <w:szCs w:val="18"/>
        </w:rPr>
        <w:t xml:space="preserve">note </w:t>
      </w:r>
      <w:r>
        <w:rPr>
          <w:rStyle w:val="None"/>
          <w:rFonts w:ascii="Times New Roman" w:hAnsi="Times New Roman"/>
          <w:kern w:val="2"/>
          <w:sz w:val="18"/>
          <w:szCs w:val="18"/>
        </w:rPr>
        <w:t xml:space="preserve">51 at </w:t>
      </w:r>
      <w:r w:rsidRPr="00476906">
        <w:rPr>
          <w:rStyle w:val="None"/>
          <w:rFonts w:ascii="Times New Roman" w:hAnsi="Times New Roman"/>
          <w:kern w:val="2"/>
          <w:sz w:val="18"/>
          <w:szCs w:val="18"/>
        </w:rPr>
        <w:t xml:space="preserve">p. 46. </w:t>
      </w:r>
    </w:p>
  </w:footnote>
  <w:footnote w:id="54">
    <w:p w14:paraId="3EB8A7A6"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sz w:val="18"/>
          <w:szCs w:val="18"/>
        </w:rPr>
        <w:t xml:space="preserve"> Ismayilova v. Azerbaijan (No. 2) [Fourth Section] App. No. 15262/07, para. 52 (10 January 2019). </w:t>
      </w:r>
    </w:p>
  </w:footnote>
  <w:footnote w:id="55">
    <w:p w14:paraId="4D045AF4"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sz w:val="18"/>
          <w:szCs w:val="18"/>
        </w:rPr>
        <w:t xml:space="preserve"> </w:t>
      </w:r>
      <w:r>
        <w:rPr>
          <w:rStyle w:val="None"/>
          <w:rFonts w:ascii="Times New Roman" w:hAnsi="Times New Roman"/>
          <w:i/>
          <w:iCs/>
          <w:sz w:val="18"/>
          <w:szCs w:val="18"/>
        </w:rPr>
        <w:t xml:space="preserve">See </w:t>
      </w:r>
      <w:r>
        <w:rPr>
          <w:rStyle w:val="None"/>
          <w:rFonts w:ascii="Times New Roman" w:hAnsi="Times New Roman"/>
          <w:sz w:val="18"/>
          <w:szCs w:val="18"/>
        </w:rPr>
        <w:t xml:space="preserve">ibid. paras 113, 121. The intervener calls attention to our previous intervention in </w:t>
      </w:r>
      <w:r>
        <w:rPr>
          <w:rStyle w:val="None"/>
          <w:rFonts w:ascii="Times New Roman" w:hAnsi="Times New Roman"/>
          <w:i/>
          <w:iCs/>
          <w:sz w:val="18"/>
          <w:szCs w:val="18"/>
        </w:rPr>
        <w:t xml:space="preserve">Ismayilova, </w:t>
      </w:r>
      <w:r>
        <w:rPr>
          <w:rStyle w:val="None"/>
          <w:rFonts w:ascii="Times New Roman" w:hAnsi="Times New Roman"/>
          <w:sz w:val="18"/>
          <w:szCs w:val="18"/>
        </w:rPr>
        <w:t xml:space="preserve">in which we encouraged the Court to: “consider the Azerbaijan’s positive obligations as part of its assessment of the compliance with Articles 8 and 10 in this case. As the Interveners have sought to show in the previous section of this intervention, the systemic failure by Azerbaijan to investigate or prevent infringement of journalists’ rights has contributed to the silencing of free expression in the country. The Third Party Interveners hold grave concerns about the resulting culture of impunity for attacks upon journalists in Azerbaijan. In order for the rights of journalists to be protected the state must provide appropriate protection against intimidation, threats, covert surveillance and all other forms of harassment. That must, in the Interveners’ submission, include protections to journalists from interference with their private life where these interferences result from their exercise of free expression. Privacy International and others, </w:t>
      </w:r>
      <w:r>
        <w:rPr>
          <w:rStyle w:val="None"/>
          <w:rFonts w:ascii="Times New Roman" w:hAnsi="Times New Roman"/>
          <w:i/>
          <w:iCs/>
          <w:sz w:val="18"/>
          <w:szCs w:val="18"/>
        </w:rPr>
        <w:t>Khadija Ismayilova v. Azerbaijan: Third Party Intervention</w:t>
      </w:r>
      <w:r>
        <w:rPr>
          <w:rStyle w:val="None"/>
          <w:rFonts w:ascii="Times New Roman" w:hAnsi="Times New Roman"/>
          <w:sz w:val="18"/>
          <w:szCs w:val="18"/>
        </w:rPr>
        <w:t xml:space="preserve">. European Court of Human Rights pp. 9-10 (January 2016) </w:t>
      </w:r>
      <w:hyperlink r:id="rId16" w:history="1">
        <w:r>
          <w:rPr>
            <w:rStyle w:val="Hyperlink5"/>
            <w:rFonts w:eastAsia="Arial Unicode MS"/>
            <w:sz w:val="18"/>
            <w:szCs w:val="18"/>
          </w:rPr>
          <w:t>https://privacyinternational.org/sites/default/files/2019-01/Khadija-Ismayilova-Intervention.pdf</w:t>
        </w:r>
      </w:hyperlink>
      <w:r>
        <w:rPr>
          <w:rStyle w:val="None"/>
          <w:rFonts w:ascii="Times New Roman" w:hAnsi="Times New Roman"/>
          <w:sz w:val="18"/>
          <w:szCs w:val="18"/>
        </w:rPr>
        <w:t xml:space="preserve">. </w:t>
      </w:r>
    </w:p>
  </w:footnote>
  <w:footnote w:id="56">
    <w:p w14:paraId="3B221FB4"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sz w:val="18"/>
          <w:szCs w:val="18"/>
        </w:rPr>
        <w:t xml:space="preserve"> Forbidden Stories 2021, </w:t>
      </w:r>
      <w:r>
        <w:rPr>
          <w:rStyle w:val="None"/>
          <w:rFonts w:ascii="Times New Roman" w:hAnsi="Times New Roman"/>
          <w:i/>
          <w:iCs/>
          <w:sz w:val="18"/>
          <w:szCs w:val="18"/>
        </w:rPr>
        <w:t xml:space="preserve">supra </w:t>
      </w:r>
      <w:r>
        <w:rPr>
          <w:rStyle w:val="None"/>
          <w:rFonts w:ascii="Times New Roman" w:hAnsi="Times New Roman"/>
          <w:sz w:val="18"/>
          <w:szCs w:val="18"/>
        </w:rPr>
        <w:t xml:space="preserve">note 47. </w:t>
      </w:r>
    </w:p>
  </w:footnote>
  <w:footnote w:id="57">
    <w:p w14:paraId="272706CC"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sz w:val="18"/>
          <w:szCs w:val="18"/>
        </w:rPr>
        <w:t xml:space="preserve"> Columbia University, </w:t>
      </w:r>
      <w:r>
        <w:rPr>
          <w:rStyle w:val="None"/>
          <w:rFonts w:ascii="Times New Roman" w:hAnsi="Times New Roman"/>
          <w:i/>
          <w:iCs/>
          <w:sz w:val="18"/>
          <w:szCs w:val="18"/>
        </w:rPr>
        <w:t>Uzeyir Jafarov v. Azerbaijan, Global Freedom of Expression</w:t>
      </w:r>
      <w:r>
        <w:rPr>
          <w:rStyle w:val="None"/>
          <w:rFonts w:ascii="Times New Roman" w:hAnsi="Times New Roman"/>
          <w:sz w:val="18"/>
          <w:szCs w:val="18"/>
        </w:rPr>
        <w:t>,</w:t>
      </w:r>
      <w:r>
        <w:rPr>
          <w:rStyle w:val="None"/>
          <w:rFonts w:ascii="Times New Roman" w:hAnsi="Times New Roman"/>
          <w:i/>
          <w:iCs/>
          <w:sz w:val="18"/>
          <w:szCs w:val="18"/>
        </w:rPr>
        <w:t xml:space="preserve"> </w:t>
      </w:r>
      <w:r>
        <w:rPr>
          <w:rStyle w:val="None"/>
          <w:rFonts w:ascii="Times New Roman" w:hAnsi="Times New Roman"/>
          <w:sz w:val="18"/>
          <w:szCs w:val="18"/>
        </w:rPr>
        <w:t xml:space="preserve"> </w:t>
      </w:r>
      <w:hyperlink r:id="rId17" w:history="1">
        <w:r>
          <w:rPr>
            <w:rStyle w:val="Hyperlink5"/>
            <w:rFonts w:eastAsia="Arial Unicode MS"/>
            <w:sz w:val="18"/>
            <w:szCs w:val="18"/>
          </w:rPr>
          <w:t>https://globalfreedomofexpression.columbia.edu/cases/uzeyir-jafarov-v-azerbaijan/</w:t>
        </w:r>
      </w:hyperlink>
      <w:r>
        <w:rPr>
          <w:rStyle w:val="None"/>
          <w:rFonts w:ascii="Times New Roman" w:hAnsi="Times New Roman"/>
          <w:sz w:val="18"/>
          <w:szCs w:val="18"/>
        </w:rPr>
        <w:t xml:space="preserve">. </w:t>
      </w:r>
    </w:p>
  </w:footnote>
  <w:footnote w:id="58">
    <w:p w14:paraId="1F3C81C0"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Amnesty International, </w:t>
      </w:r>
      <w:r>
        <w:rPr>
          <w:rStyle w:val="None"/>
          <w:rFonts w:ascii="Times New Roman" w:hAnsi="Times New Roman"/>
          <w:i/>
          <w:iCs/>
          <w:sz w:val="18"/>
          <w:szCs w:val="18"/>
        </w:rPr>
        <w:t xml:space="preserve">Azerbaijan: Activists Targeted by ‘Government-Sponsored’ Cyber Attack </w:t>
      </w:r>
      <w:r>
        <w:rPr>
          <w:rFonts w:ascii="Times New Roman" w:hAnsi="Times New Roman"/>
          <w:sz w:val="18"/>
          <w:szCs w:val="18"/>
        </w:rPr>
        <w:t xml:space="preserve">(10 March 2017) </w:t>
      </w:r>
      <w:hyperlink r:id="rId18" w:history="1">
        <w:r>
          <w:rPr>
            <w:rStyle w:val="Hyperlink10"/>
            <w:rFonts w:ascii="Times New Roman" w:hAnsi="Times New Roman"/>
            <w:sz w:val="18"/>
            <w:szCs w:val="18"/>
          </w:rPr>
          <w:t>https://www.amnesty.nl/actueel/azerbaijan-activists-targeted-by-government-sponsored-cyberattack</w:t>
        </w:r>
      </w:hyperlink>
      <w:r>
        <w:rPr>
          <w:rFonts w:ascii="Times New Roman" w:hAnsi="Times New Roman"/>
          <w:sz w:val="18"/>
          <w:szCs w:val="18"/>
        </w:rPr>
        <w:t xml:space="preserve">. </w:t>
      </w:r>
    </w:p>
  </w:footnote>
  <w:footnote w:id="59">
    <w:p w14:paraId="6F4A5AB8"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Fonts w:ascii="Times New Roman" w:hAnsi="Times New Roman"/>
          <w:sz w:val="18"/>
          <w:szCs w:val="18"/>
        </w:rPr>
        <w:t xml:space="preserve">Media Defence, </w:t>
      </w:r>
      <w:r>
        <w:rPr>
          <w:rStyle w:val="None"/>
          <w:rFonts w:ascii="Times New Roman" w:hAnsi="Times New Roman"/>
          <w:i/>
          <w:iCs/>
          <w:sz w:val="18"/>
          <w:szCs w:val="18"/>
        </w:rPr>
        <w:t>Media Defence Files Four Cases at the ECtHR Concerning Use of Pegasus Spyware by the Azerbaijan Government</w:t>
      </w:r>
      <w:r>
        <w:rPr>
          <w:rFonts w:ascii="Times New Roman" w:hAnsi="Times New Roman"/>
          <w:sz w:val="18"/>
          <w:szCs w:val="18"/>
        </w:rPr>
        <w:t xml:space="preserve"> (3 October 2022) </w:t>
      </w:r>
      <w:hyperlink r:id="rId19" w:history="1">
        <w:r>
          <w:rPr>
            <w:rStyle w:val="Hyperlink10"/>
            <w:rFonts w:ascii="Times New Roman" w:hAnsi="Times New Roman"/>
            <w:sz w:val="18"/>
            <w:szCs w:val="18"/>
          </w:rPr>
          <w:t>https://www.mediadefence.org/news/pegasus-spyware-azerbaijan/</w:t>
        </w:r>
      </w:hyperlink>
      <w:r>
        <w:rPr>
          <w:rFonts w:ascii="Times New Roman" w:hAnsi="Times New Roman"/>
          <w:sz w:val="18"/>
          <w:szCs w:val="18"/>
        </w:rPr>
        <w:t>.</w:t>
      </w:r>
    </w:p>
  </w:footnote>
  <w:footnote w:id="60">
    <w:p w14:paraId="128738FC"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Amnesty International, </w:t>
      </w:r>
      <w:r>
        <w:rPr>
          <w:rStyle w:val="None"/>
          <w:rFonts w:ascii="Times New Roman" w:hAnsi="Times New Roman"/>
          <w:i/>
          <w:iCs/>
          <w:sz w:val="18"/>
          <w:szCs w:val="18"/>
        </w:rPr>
        <w:t>Armenia/Azerbaijan: Pegasus Spyware Targeted Armenian Public Figures amid Conflict</w:t>
      </w:r>
      <w:r>
        <w:rPr>
          <w:rFonts w:ascii="Times New Roman" w:hAnsi="Times New Roman"/>
          <w:sz w:val="18"/>
          <w:szCs w:val="18"/>
        </w:rPr>
        <w:t xml:space="preserve"> (25 May 2023) </w:t>
      </w:r>
      <w:hyperlink r:id="rId20" w:history="1">
        <w:r>
          <w:rPr>
            <w:rStyle w:val="Hyperlink10"/>
            <w:rFonts w:ascii="Times New Roman" w:hAnsi="Times New Roman"/>
            <w:sz w:val="18"/>
            <w:szCs w:val="18"/>
          </w:rPr>
          <w:t>https://www.amnesty.org/en/latest/news/2023/05/armenia-azerbaijan-pegasus-spyware-targeted-armenian-public-figures-amid-conflict/</w:t>
        </w:r>
      </w:hyperlink>
      <w:r>
        <w:rPr>
          <w:rFonts w:ascii="Times New Roman" w:hAnsi="Times New Roman"/>
          <w:sz w:val="18"/>
          <w:szCs w:val="18"/>
        </w:rPr>
        <w:t>.</w:t>
      </w:r>
    </w:p>
  </w:footnote>
  <w:footnote w:id="61">
    <w:p w14:paraId="68A1E400"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Ibid. </w:t>
      </w:r>
    </w:p>
  </w:footnote>
  <w:footnote w:id="62">
    <w:p w14:paraId="25B4C6A4"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sz w:val="18"/>
          <w:szCs w:val="18"/>
        </w:rPr>
        <w:t xml:space="preserve"> Forbidden Stories 2021, </w:t>
      </w:r>
      <w:r>
        <w:rPr>
          <w:rStyle w:val="None"/>
          <w:rFonts w:ascii="Times New Roman" w:hAnsi="Times New Roman"/>
          <w:i/>
          <w:iCs/>
          <w:sz w:val="18"/>
          <w:szCs w:val="18"/>
        </w:rPr>
        <w:t xml:space="preserve">supra </w:t>
      </w:r>
      <w:r>
        <w:rPr>
          <w:rStyle w:val="None"/>
          <w:rFonts w:ascii="Times New Roman" w:hAnsi="Times New Roman"/>
          <w:sz w:val="18"/>
          <w:szCs w:val="18"/>
        </w:rPr>
        <w:t xml:space="preserve">note 47. </w:t>
      </w:r>
    </w:p>
  </w:footnote>
  <w:footnote w:id="63">
    <w:p w14:paraId="233557F9"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Council of Europe, </w:t>
      </w:r>
      <w:r>
        <w:rPr>
          <w:rStyle w:val="None"/>
          <w:rFonts w:ascii="Times New Roman" w:hAnsi="Times New Roman"/>
          <w:i/>
          <w:iCs/>
          <w:sz w:val="18"/>
          <w:szCs w:val="18"/>
        </w:rPr>
        <w:t>Threats to Life and Safety of Journalists and HR Defenders in Azerbaijan</w:t>
      </w:r>
      <w:r>
        <w:rPr>
          <w:rFonts w:ascii="Times New Roman" w:hAnsi="Times New Roman"/>
          <w:sz w:val="18"/>
          <w:szCs w:val="18"/>
        </w:rPr>
        <w:t xml:space="preserve"> (2023) </w:t>
      </w:r>
      <w:hyperlink r:id="rId21" w:history="1">
        <w:r>
          <w:rPr>
            <w:rStyle w:val="Hyperlink3"/>
            <w:rFonts w:ascii="Times New Roman" w:hAnsi="Times New Roman"/>
            <w:sz w:val="18"/>
            <w:szCs w:val="18"/>
          </w:rPr>
          <w:t>https://rm.coe.int/threats-to-life-and-safety-of-journalists-and-hr-defenders-in-azerbaij/1680aaafa3</w:t>
        </w:r>
      </w:hyperlink>
      <w:r>
        <w:rPr>
          <w:rFonts w:ascii="Times New Roman" w:hAnsi="Times New Roman"/>
          <w:sz w:val="18"/>
          <w:szCs w:val="18"/>
        </w:rPr>
        <w:t>.</w:t>
      </w:r>
    </w:p>
  </w:footnote>
  <w:footnote w:id="64">
    <w:p w14:paraId="507CAF7E"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OHCHR, </w:t>
      </w:r>
      <w:r>
        <w:rPr>
          <w:rStyle w:val="None"/>
          <w:rFonts w:ascii="Times New Roman" w:hAnsi="Times New Roman"/>
          <w:i/>
          <w:iCs/>
          <w:sz w:val="18"/>
          <w:szCs w:val="18"/>
        </w:rPr>
        <w:t>Azerbaijan: Expert concerned about prosecution of human rights defenders and journalists</w:t>
      </w:r>
      <w:r>
        <w:rPr>
          <w:rFonts w:ascii="Times New Roman" w:hAnsi="Times New Roman"/>
          <w:sz w:val="18"/>
          <w:szCs w:val="18"/>
        </w:rPr>
        <w:t xml:space="preserve"> (15 August 2024) </w:t>
      </w:r>
      <w:hyperlink r:id="rId22" w:history="1">
        <w:r>
          <w:rPr>
            <w:rStyle w:val="Hyperlink3"/>
            <w:rFonts w:ascii="Times New Roman" w:hAnsi="Times New Roman"/>
            <w:sz w:val="18"/>
            <w:szCs w:val="18"/>
          </w:rPr>
          <w:t>https://www.ohchr.org/en/press-releases/2024/08/azerbaijan-expert-concerned-about-prosecution-human-rights-defenders-and</w:t>
        </w:r>
      </w:hyperlink>
      <w:r>
        <w:rPr>
          <w:rFonts w:ascii="Times New Roman" w:hAnsi="Times New Roman"/>
          <w:sz w:val="18"/>
          <w:szCs w:val="18"/>
        </w:rPr>
        <w:t>.</w:t>
      </w:r>
    </w:p>
  </w:footnote>
  <w:footnote w:id="65">
    <w:p w14:paraId="5A654BEA"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OHCHR, </w:t>
      </w:r>
      <w:r>
        <w:rPr>
          <w:rStyle w:val="None"/>
          <w:rFonts w:ascii="Times New Roman" w:hAnsi="Times New Roman"/>
          <w:i/>
          <w:iCs/>
          <w:sz w:val="18"/>
          <w:szCs w:val="18"/>
        </w:rPr>
        <w:t>Azerbaijan: UN Experts Alarmed by Year-Long Arbitrary Detention of Azerbaijani Human Rights Defender</w:t>
      </w:r>
      <w:r>
        <w:rPr>
          <w:rFonts w:ascii="Times New Roman" w:hAnsi="Times New Roman"/>
          <w:sz w:val="18"/>
          <w:szCs w:val="18"/>
        </w:rPr>
        <w:t xml:space="preserve"> (26 May 2025) </w:t>
      </w:r>
      <w:hyperlink r:id="rId23" w:history="1">
        <w:r>
          <w:rPr>
            <w:rStyle w:val="Hyperlink10"/>
            <w:rFonts w:ascii="Times New Roman" w:hAnsi="Times New Roman"/>
            <w:sz w:val="18"/>
            <w:szCs w:val="18"/>
          </w:rPr>
          <w:t>https://www.ohchr.org/en/press-releases/2025/05/azerbaijan-un-experts-alarmed-year-long-arbitrary-detention-azerbaijani</w:t>
        </w:r>
      </w:hyperlink>
      <w:r>
        <w:rPr>
          <w:rFonts w:ascii="Times New Roman" w:hAnsi="Times New Roman"/>
          <w:sz w:val="18"/>
          <w:szCs w:val="18"/>
        </w:rPr>
        <w:t xml:space="preserve">. (OHCHR 2025). </w:t>
      </w:r>
    </w:p>
  </w:footnote>
  <w:footnote w:id="66">
    <w:p w14:paraId="7B1E335C"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OHCHR, </w:t>
      </w:r>
      <w:r>
        <w:rPr>
          <w:rStyle w:val="None"/>
          <w:rFonts w:ascii="Times New Roman" w:hAnsi="Times New Roman"/>
          <w:i/>
          <w:iCs/>
          <w:sz w:val="18"/>
          <w:szCs w:val="18"/>
        </w:rPr>
        <w:t>Report of the Working Group on Arbitrary Detention: Addendum – Mission to Azerbaijan</w:t>
      </w:r>
      <w:r>
        <w:rPr>
          <w:rFonts w:ascii="Times New Roman" w:hAnsi="Times New Roman"/>
          <w:sz w:val="18"/>
          <w:szCs w:val="18"/>
        </w:rPr>
        <w:t xml:space="preserve">(A/HRC/36/37/Add.1) </w:t>
      </w:r>
      <w:hyperlink r:id="rId24" w:history="1">
        <w:r>
          <w:rPr>
            <w:rStyle w:val="Hyperlink3"/>
            <w:rFonts w:ascii="Times New Roman" w:hAnsi="Times New Roman"/>
            <w:sz w:val="18"/>
            <w:szCs w:val="18"/>
          </w:rPr>
          <w:t>https://www.ohchr.org/en/documents/country-reports/ahrc3637add1-report-working-group-arbitrary-detention-its-mission</w:t>
        </w:r>
      </w:hyperlink>
      <w:r>
        <w:rPr>
          <w:rFonts w:ascii="Times New Roman" w:hAnsi="Times New Roman"/>
          <w:sz w:val="18"/>
          <w:szCs w:val="18"/>
        </w:rPr>
        <w:t xml:space="preserve">. </w:t>
      </w:r>
    </w:p>
  </w:footnote>
  <w:footnote w:id="67">
    <w:p w14:paraId="50A54B14"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Barthold v. Germany [Plenary] App. No. 8734/79, para. 58 (25 March 1985). </w:t>
      </w:r>
    </w:p>
  </w:footnote>
  <w:footnote w:id="68">
    <w:p w14:paraId="703E2570" w14:textId="77777777" w:rsidR="006517ED" w:rsidRPr="006517ED" w:rsidRDefault="006517ED" w:rsidP="006517ED">
      <w:pPr>
        <w:pStyle w:val="Default"/>
        <w:spacing w:before="0" w:line="240" w:lineRule="auto"/>
        <w:rPr>
          <w:rFonts w:ascii="Times New Roman" w:hAnsi="Times New Roman" w:cs="Times New Roman"/>
          <w:sz w:val="18"/>
          <w:szCs w:val="18"/>
        </w:rPr>
      </w:pPr>
      <w:r>
        <w:rPr>
          <w:rStyle w:val="None"/>
          <w:rFonts w:ascii="Times New Roman" w:eastAsia="Times New Roman" w:hAnsi="Times New Roman" w:cs="Times New Roman"/>
          <w:color w:val="333333"/>
          <w:sz w:val="18"/>
          <w:szCs w:val="18"/>
          <w:shd w:val="clear" w:color="auto" w:fill="FFFFFF"/>
          <w:vertAlign w:val="superscript"/>
        </w:rPr>
        <w:footnoteRef/>
      </w:r>
      <w:r>
        <w:rPr>
          <w:rStyle w:val="None"/>
          <w:rFonts w:ascii="Times New Roman" w:hAnsi="Times New Roman"/>
          <w:kern w:val="2"/>
          <w:sz w:val="18"/>
          <w:szCs w:val="18"/>
        </w:rPr>
        <w:t xml:space="preserve"> </w:t>
      </w:r>
      <w:r w:rsidRPr="006517ED">
        <w:rPr>
          <w:rStyle w:val="None"/>
          <w:rFonts w:ascii="Times New Roman" w:hAnsi="Times New Roman" w:cs="Times New Roman"/>
          <w:kern w:val="2"/>
          <w:sz w:val="18"/>
          <w:szCs w:val="18"/>
        </w:rPr>
        <w:t xml:space="preserve">Pedersen and Baadsgaard v. Denmark [GC] </w:t>
      </w:r>
      <w:r w:rsidRPr="006517ED">
        <w:rPr>
          <w:rFonts w:ascii="Times New Roman" w:hAnsi="Times New Roman" w:cs="Times New Roman"/>
          <w:sz w:val="18"/>
          <w:szCs w:val="18"/>
        </w:rPr>
        <w:t xml:space="preserve">App. No. 49017/99, para. 71 (2004). </w:t>
      </w:r>
    </w:p>
  </w:footnote>
  <w:footnote w:id="69">
    <w:p w14:paraId="1B2F3E77"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Fonts w:ascii="Times New Roman" w:hAnsi="Times New Roman"/>
          <w:sz w:val="18"/>
          <w:szCs w:val="18"/>
        </w:rPr>
        <w:t xml:space="preserve">Amnesty International, </w:t>
      </w:r>
      <w:r>
        <w:rPr>
          <w:rStyle w:val="None"/>
          <w:rFonts w:ascii="Times New Roman" w:hAnsi="Times New Roman"/>
          <w:i/>
          <w:iCs/>
          <w:sz w:val="18"/>
          <w:szCs w:val="18"/>
        </w:rPr>
        <w:t>Azerbaijan: Seven Journalists Sentenced in Latest Shocking Crackdown on Free Speech</w:t>
      </w:r>
      <w:r>
        <w:rPr>
          <w:rFonts w:ascii="Times New Roman" w:hAnsi="Times New Roman"/>
          <w:sz w:val="18"/>
          <w:szCs w:val="18"/>
        </w:rPr>
        <w:t xml:space="preserve"> (20 June 2025) </w:t>
      </w:r>
      <w:hyperlink r:id="rId25" w:history="1">
        <w:r>
          <w:rPr>
            <w:rStyle w:val="Hyperlink3"/>
            <w:rFonts w:ascii="Times New Roman" w:hAnsi="Times New Roman"/>
            <w:sz w:val="18"/>
            <w:szCs w:val="18"/>
          </w:rPr>
          <w:t>https://www.amnesty.org/en/latest/news/2025/06/azerbaijan-seven-journalists-sentenced-in-latest-shocking-crackdown-on-free-speech/</w:t>
        </w:r>
      </w:hyperlink>
      <w:r>
        <w:rPr>
          <w:rFonts w:ascii="Times New Roman" w:hAnsi="Times New Roman"/>
          <w:sz w:val="18"/>
          <w:szCs w:val="18"/>
        </w:rPr>
        <w:t>.</w:t>
      </w:r>
    </w:p>
  </w:footnote>
  <w:footnote w:id="70">
    <w:p w14:paraId="7E7C099C"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Fonts w:ascii="Times New Roman" w:hAnsi="Times New Roman"/>
          <w:sz w:val="18"/>
          <w:szCs w:val="18"/>
        </w:rPr>
        <w:t xml:space="preserve">Committee to Protect Journalists, </w:t>
      </w:r>
      <w:r>
        <w:rPr>
          <w:rStyle w:val="None"/>
          <w:rFonts w:ascii="Times New Roman" w:hAnsi="Times New Roman"/>
          <w:i/>
          <w:iCs/>
          <w:sz w:val="18"/>
          <w:szCs w:val="18"/>
        </w:rPr>
        <w:t>Trial of 12 Journalists Begins in Azerbaijan’s Case Against Meydan TV</w:t>
      </w:r>
      <w:r>
        <w:rPr>
          <w:rFonts w:ascii="Times New Roman" w:hAnsi="Times New Roman"/>
          <w:sz w:val="18"/>
          <w:szCs w:val="18"/>
        </w:rPr>
        <w:t xml:space="preserve"> (12 December 2025) </w:t>
      </w:r>
      <w:hyperlink r:id="rId26" w:history="1">
        <w:r>
          <w:rPr>
            <w:rStyle w:val="Hyperlink10"/>
            <w:rFonts w:ascii="Times New Roman" w:hAnsi="Times New Roman"/>
            <w:sz w:val="18"/>
            <w:szCs w:val="18"/>
          </w:rPr>
          <w:t>https://cpj.org/2025/12/trial-of-12-journalists-begins-in-azerbaijans-case-against-meydan-tv/</w:t>
        </w:r>
      </w:hyperlink>
      <w:r>
        <w:rPr>
          <w:rFonts w:ascii="Times New Roman" w:hAnsi="Times New Roman"/>
          <w:sz w:val="18"/>
          <w:szCs w:val="18"/>
        </w:rPr>
        <w:t>.</w:t>
      </w:r>
    </w:p>
  </w:footnote>
  <w:footnote w:id="71">
    <w:p w14:paraId="77899038"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FIDH, </w:t>
      </w:r>
      <w:r>
        <w:rPr>
          <w:rStyle w:val="None"/>
          <w:rFonts w:ascii="Times New Roman" w:hAnsi="Times New Roman"/>
          <w:i/>
          <w:iCs/>
          <w:sz w:val="18"/>
          <w:szCs w:val="18"/>
        </w:rPr>
        <w:t>Azerbaijan: Unlawfully Detained Women Journalists Face Sexual Violence Amidst Ongoing Crackdown on Civil Society</w:t>
      </w:r>
      <w:r>
        <w:rPr>
          <w:rFonts w:ascii="Times New Roman" w:hAnsi="Times New Roman"/>
          <w:sz w:val="18"/>
          <w:szCs w:val="18"/>
        </w:rPr>
        <w:t xml:space="preserve"> (6 February 2026) </w:t>
      </w:r>
      <w:hyperlink r:id="rId27" w:history="1">
        <w:r>
          <w:rPr>
            <w:rStyle w:val="Hyperlink10"/>
            <w:rFonts w:ascii="Times New Roman" w:hAnsi="Times New Roman"/>
            <w:sz w:val="18"/>
            <w:szCs w:val="18"/>
          </w:rPr>
          <w:t>https://www.fidh.org/en/region/europe-central-asia/azerbaijan/azerbaijan-unlawfully-detained-women-journalists-face-sexual-violence</w:t>
        </w:r>
      </w:hyperlink>
      <w:r>
        <w:rPr>
          <w:rFonts w:ascii="Times New Roman" w:hAnsi="Times New Roman"/>
          <w:sz w:val="18"/>
          <w:szCs w:val="18"/>
        </w:rPr>
        <w:t>.</w:t>
      </w:r>
    </w:p>
  </w:footnote>
  <w:footnote w:id="72">
    <w:p w14:paraId="736E9992"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Reporters Without Borders, </w:t>
      </w:r>
      <w:r>
        <w:rPr>
          <w:rStyle w:val="None"/>
          <w:rFonts w:ascii="Times New Roman" w:hAnsi="Times New Roman"/>
          <w:i/>
          <w:iCs/>
          <w:sz w:val="18"/>
          <w:szCs w:val="18"/>
        </w:rPr>
        <w:t>Corruption Reigns in Azerbaijan: Supreme Court Upholds Abzas Journalists’ Unjust Prison Sentences</w:t>
      </w:r>
      <w:r>
        <w:rPr>
          <w:rFonts w:ascii="Times New Roman" w:hAnsi="Times New Roman"/>
          <w:sz w:val="18"/>
          <w:szCs w:val="18"/>
        </w:rPr>
        <w:t xml:space="preserve"> (3 April 2026) </w:t>
      </w:r>
      <w:hyperlink r:id="rId28" w:history="1">
        <w:r>
          <w:rPr>
            <w:rStyle w:val="Hyperlink10"/>
            <w:rFonts w:ascii="Times New Roman" w:hAnsi="Times New Roman"/>
            <w:sz w:val="18"/>
            <w:szCs w:val="18"/>
          </w:rPr>
          <w:t>https://rsf.org/en/corruption-reigns-azerbaijan-supreme-court-upholds-abzas-journalists-unjust-prison-sentences</w:t>
        </w:r>
      </w:hyperlink>
      <w:r>
        <w:rPr>
          <w:rFonts w:ascii="Times New Roman" w:hAnsi="Times New Roman"/>
          <w:sz w:val="18"/>
          <w:szCs w:val="18"/>
        </w:rPr>
        <w:t>.</w:t>
      </w:r>
    </w:p>
  </w:footnote>
  <w:footnote w:id="73">
    <w:p w14:paraId="75065F29"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Style w:val="None"/>
          <w:rFonts w:ascii="Times New Roman" w:hAnsi="Times New Roman"/>
          <w:kern w:val="2"/>
          <w:sz w:val="18"/>
          <w:szCs w:val="18"/>
        </w:rPr>
        <w:t xml:space="preserve"> </w:t>
      </w:r>
      <w:r>
        <w:rPr>
          <w:rFonts w:ascii="Times New Roman" w:hAnsi="Times New Roman"/>
          <w:sz w:val="18"/>
          <w:szCs w:val="18"/>
        </w:rPr>
        <w:t xml:space="preserve">Human Rights Watch, </w:t>
      </w:r>
      <w:r>
        <w:rPr>
          <w:rStyle w:val="None"/>
          <w:rFonts w:ascii="Times New Roman" w:hAnsi="Times New Roman"/>
          <w:i/>
          <w:iCs/>
          <w:sz w:val="18"/>
          <w:szCs w:val="18"/>
        </w:rPr>
        <w:t>Azerbaijan Escalates Crackdown on Exiled Critics</w:t>
      </w:r>
      <w:r>
        <w:rPr>
          <w:rFonts w:ascii="Times New Roman" w:hAnsi="Times New Roman"/>
          <w:sz w:val="18"/>
          <w:szCs w:val="18"/>
        </w:rPr>
        <w:t xml:space="preserve"> (26 November 2025) </w:t>
      </w:r>
      <w:hyperlink r:id="rId29" w:history="1">
        <w:r>
          <w:rPr>
            <w:rStyle w:val="Hyperlink10"/>
            <w:rFonts w:ascii="Times New Roman" w:hAnsi="Times New Roman"/>
            <w:sz w:val="18"/>
            <w:szCs w:val="18"/>
          </w:rPr>
          <w:t>https://www.hrw.org/news/2025/11/26/azerbaijan-escalates-crackdown-on-exiled-critics</w:t>
        </w:r>
      </w:hyperlink>
      <w:r>
        <w:rPr>
          <w:rFonts w:ascii="Times New Roman" w:hAnsi="Times New Roman"/>
          <w:sz w:val="18"/>
          <w:szCs w:val="18"/>
        </w:rPr>
        <w:t>.</w:t>
      </w:r>
    </w:p>
  </w:footnote>
  <w:footnote w:id="74">
    <w:p w14:paraId="107DA21B"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Parliamentary Assembly of the Council of Europe, </w:t>
      </w:r>
      <w:r>
        <w:rPr>
          <w:rStyle w:val="None"/>
          <w:rFonts w:ascii="Times New Roman" w:hAnsi="Times New Roman"/>
          <w:i/>
          <w:iCs/>
          <w:sz w:val="18"/>
          <w:szCs w:val="18"/>
        </w:rPr>
        <w:t>PACE resolves not to ratify the credentials of Azerbaijan’s parliamentary delegation, citing a failure to fulfil major commitments</w:t>
      </w:r>
      <w:r>
        <w:rPr>
          <w:rFonts w:ascii="Times New Roman" w:hAnsi="Times New Roman"/>
          <w:sz w:val="18"/>
          <w:szCs w:val="18"/>
        </w:rPr>
        <w:t xml:space="preserve"> (24 January 2024) </w:t>
      </w:r>
      <w:hyperlink r:id="rId30" w:history="1">
        <w:r>
          <w:rPr>
            <w:rStyle w:val="Hyperlink10"/>
            <w:rFonts w:ascii="Times New Roman" w:hAnsi="Times New Roman"/>
            <w:sz w:val="18"/>
            <w:szCs w:val="18"/>
          </w:rPr>
          <w:t>https://www.coe.int/en/web/portal/-/pace-resolves-not-to-ratify-the-credentials-of-azerbaijan-s-parliamentary-delegation-citing-a-failure-to-fulfil-major-commitments-</w:t>
        </w:r>
      </w:hyperlink>
      <w:r>
        <w:rPr>
          <w:rFonts w:ascii="Times New Roman" w:hAnsi="Times New Roman"/>
          <w:sz w:val="18"/>
          <w:szCs w:val="18"/>
        </w:rPr>
        <w:t>.</w:t>
      </w:r>
    </w:p>
  </w:footnote>
  <w:footnote w:id="75">
    <w:p w14:paraId="3EC0A32D"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Amnesty International, </w:t>
      </w:r>
      <w:r>
        <w:rPr>
          <w:rStyle w:val="None"/>
          <w:rFonts w:ascii="Times New Roman" w:hAnsi="Times New Roman"/>
          <w:i/>
          <w:iCs/>
          <w:sz w:val="18"/>
          <w:szCs w:val="18"/>
        </w:rPr>
        <w:t>Azerbaijan Report</w:t>
      </w:r>
      <w:r>
        <w:rPr>
          <w:rFonts w:ascii="Times New Roman" w:hAnsi="Times New Roman"/>
          <w:sz w:val="18"/>
          <w:szCs w:val="18"/>
        </w:rPr>
        <w:t xml:space="preserve"> (2024) </w:t>
      </w:r>
      <w:hyperlink r:id="rId31" w:history="1">
        <w:r>
          <w:rPr>
            <w:rStyle w:val="Hyperlink3"/>
            <w:rFonts w:ascii="Times New Roman" w:hAnsi="Times New Roman"/>
            <w:sz w:val="18"/>
            <w:szCs w:val="18"/>
          </w:rPr>
          <w:t>https://www.amnesty.org/en/location/europe-and-central-asia/eastern-europe-and-central-asia/azerbaijan/report-azerbaijan/</w:t>
        </w:r>
      </w:hyperlink>
      <w:r>
        <w:rPr>
          <w:rFonts w:ascii="Times New Roman" w:hAnsi="Times New Roman"/>
          <w:sz w:val="18"/>
          <w:szCs w:val="18"/>
        </w:rPr>
        <w:t xml:space="preserve">. (Amnesty International 2024). </w:t>
      </w:r>
    </w:p>
  </w:footnote>
  <w:footnote w:id="76">
    <w:p w14:paraId="7F40C61E"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rFonts w:ascii="Times New Roman" w:hAnsi="Times New Roman"/>
          <w:sz w:val="18"/>
          <w:szCs w:val="18"/>
        </w:rPr>
        <w:t xml:space="preserve"> Human Rights Watch, </w:t>
      </w:r>
      <w:r>
        <w:rPr>
          <w:rStyle w:val="None"/>
          <w:rFonts w:ascii="Times New Roman" w:hAnsi="Times New Roman"/>
          <w:i/>
          <w:iCs/>
          <w:sz w:val="18"/>
          <w:szCs w:val="18"/>
        </w:rPr>
        <w:t>World Report 2025: Azerbaijan</w:t>
      </w:r>
      <w:r>
        <w:rPr>
          <w:rFonts w:ascii="Times New Roman" w:hAnsi="Times New Roman"/>
          <w:sz w:val="18"/>
          <w:szCs w:val="18"/>
        </w:rPr>
        <w:t xml:space="preserve"> (2025) </w:t>
      </w:r>
      <w:hyperlink r:id="rId32" w:history="1">
        <w:r>
          <w:rPr>
            <w:rStyle w:val="Hyperlink3"/>
            <w:rFonts w:ascii="Times New Roman" w:hAnsi="Times New Roman"/>
            <w:sz w:val="18"/>
            <w:szCs w:val="18"/>
          </w:rPr>
          <w:t>https://www.hrw.org/world-report/2025/country-chapters/azerbaijan</w:t>
        </w:r>
      </w:hyperlink>
      <w:r>
        <w:rPr>
          <w:rFonts w:ascii="Times New Roman" w:hAnsi="Times New Roman"/>
          <w:sz w:val="18"/>
          <w:szCs w:val="18"/>
        </w:rPr>
        <w:t xml:space="preserve">. (HRW 2025). </w:t>
      </w:r>
    </w:p>
  </w:footnote>
  <w:footnote w:id="77">
    <w:p w14:paraId="72FD65C1"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OHCHR 2025, </w:t>
      </w:r>
      <w:r>
        <w:rPr>
          <w:rStyle w:val="None"/>
          <w:rFonts w:ascii="Times New Roman" w:hAnsi="Times New Roman"/>
          <w:i/>
          <w:iCs/>
          <w:sz w:val="18"/>
          <w:szCs w:val="18"/>
        </w:rPr>
        <w:t xml:space="preserve">supra </w:t>
      </w:r>
      <w:r>
        <w:rPr>
          <w:rFonts w:ascii="Times New Roman" w:hAnsi="Times New Roman"/>
          <w:sz w:val="18"/>
          <w:szCs w:val="18"/>
        </w:rPr>
        <w:t xml:space="preserve">note 66. </w:t>
      </w:r>
    </w:p>
  </w:footnote>
  <w:footnote w:id="78">
    <w:p w14:paraId="7E359CDD" w14:textId="77777777" w:rsidR="006517ED" w:rsidRDefault="006517ED" w:rsidP="006517ED">
      <w:pPr>
        <w:pStyle w:val="Default"/>
        <w:spacing w:before="0" w:line="240" w:lineRule="auto"/>
      </w:pPr>
      <w:r>
        <w:rPr>
          <w:rStyle w:val="None"/>
          <w:rFonts w:ascii="Times New Roman" w:eastAsia="Times New Roman" w:hAnsi="Times New Roman" w:cs="Times New Roman"/>
          <w:sz w:val="18"/>
          <w:szCs w:val="18"/>
          <w:vertAlign w:val="superscript"/>
        </w:rPr>
        <w:footnoteRef/>
      </w:r>
      <w:r>
        <w:rPr>
          <w:rFonts w:ascii="Times New Roman" w:hAnsi="Times New Roman"/>
          <w:sz w:val="18"/>
          <w:szCs w:val="18"/>
        </w:rPr>
        <w:t xml:space="preserve"> HRW 2025, </w:t>
      </w:r>
      <w:r>
        <w:rPr>
          <w:rStyle w:val="None"/>
          <w:rFonts w:ascii="Times New Roman" w:hAnsi="Times New Roman"/>
          <w:i/>
          <w:iCs/>
          <w:sz w:val="18"/>
          <w:szCs w:val="18"/>
        </w:rPr>
        <w:t xml:space="preserve">supra </w:t>
      </w:r>
      <w:r>
        <w:rPr>
          <w:rFonts w:ascii="Times New Roman" w:hAnsi="Times New Roman"/>
          <w:sz w:val="18"/>
          <w:szCs w:val="18"/>
        </w:rPr>
        <w:t xml:space="preserve">note 73. </w:t>
      </w:r>
    </w:p>
  </w:footnote>
  <w:footnote w:id="79">
    <w:p w14:paraId="69CFBEF2" w14:textId="77777777" w:rsidR="006517ED" w:rsidRDefault="006517ED" w:rsidP="006517ED">
      <w:pPr>
        <w:pStyle w:val="Default"/>
        <w:spacing w:before="0" w:line="240" w:lineRule="auto"/>
      </w:pPr>
      <w:r>
        <w:rPr>
          <w:rStyle w:val="None"/>
          <w:rFonts w:ascii="Times New Roman" w:eastAsia="Times New Roman" w:hAnsi="Times New Roman" w:cs="Times New Roman"/>
          <w:kern w:val="2"/>
          <w:sz w:val="18"/>
          <w:szCs w:val="18"/>
          <w:vertAlign w:val="superscript"/>
        </w:rPr>
        <w:footnoteRef/>
      </w:r>
      <w:r>
        <w:rPr>
          <w:rFonts w:ascii="Times New Roman" w:hAnsi="Times New Roman"/>
          <w:sz w:val="18"/>
          <w:szCs w:val="18"/>
        </w:rPr>
        <w:t xml:space="preserve"> Ibid.; </w:t>
      </w:r>
      <w:r>
        <w:rPr>
          <w:rStyle w:val="None"/>
          <w:rFonts w:ascii="Times New Roman" w:hAnsi="Times New Roman"/>
          <w:kern w:val="2"/>
          <w:sz w:val="18"/>
          <w:szCs w:val="18"/>
        </w:rPr>
        <w:t xml:space="preserve">Amnesty International 2024, </w:t>
      </w:r>
      <w:r>
        <w:rPr>
          <w:rStyle w:val="None"/>
          <w:rFonts w:ascii="Times New Roman" w:hAnsi="Times New Roman"/>
          <w:i/>
          <w:iCs/>
          <w:kern w:val="2"/>
          <w:sz w:val="18"/>
          <w:szCs w:val="18"/>
        </w:rPr>
        <w:t xml:space="preserve">supra </w:t>
      </w:r>
      <w:r>
        <w:rPr>
          <w:rStyle w:val="None"/>
          <w:rFonts w:ascii="Times New Roman" w:hAnsi="Times New Roman"/>
          <w:kern w:val="2"/>
          <w:sz w:val="18"/>
          <w:szCs w:val="18"/>
        </w:rPr>
        <w:t xml:space="preserve">note 75.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E2DF" w14:textId="77777777" w:rsidR="00476906" w:rsidRDefault="00476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81B5" w14:textId="77777777" w:rsidR="00476906" w:rsidRDefault="004769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4F99" w14:textId="77777777" w:rsidR="00476906" w:rsidRDefault="00476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6697D"/>
    <w:multiLevelType w:val="hybridMultilevel"/>
    <w:tmpl w:val="6C5A4EE2"/>
    <w:numStyleLink w:val="ImportedStyle1"/>
  </w:abstractNum>
  <w:abstractNum w:abstractNumId="1" w15:restartNumberingAfterBreak="0">
    <w:nsid w:val="11EB1250"/>
    <w:multiLevelType w:val="hybridMultilevel"/>
    <w:tmpl w:val="6C5A4EE2"/>
    <w:numStyleLink w:val="ImportedStyle1"/>
  </w:abstractNum>
  <w:abstractNum w:abstractNumId="2" w15:restartNumberingAfterBreak="0">
    <w:nsid w:val="18A76A32"/>
    <w:multiLevelType w:val="hybridMultilevel"/>
    <w:tmpl w:val="BA8044BE"/>
    <w:styleLink w:val="ImportedStyle5"/>
    <w:lvl w:ilvl="0" w:tplc="954E76F8">
      <w:start w:val="1"/>
      <w:numFmt w:val="upperLetter"/>
      <w:lvlText w:val="%1."/>
      <w:lvlJc w:val="left"/>
      <w:pPr>
        <w:ind w:left="108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1" w:tplc="6750C4CE">
      <w:start w:val="1"/>
      <w:numFmt w:val="lowerLetter"/>
      <w:lvlText w:val="%2."/>
      <w:lvlJc w:val="left"/>
      <w:pPr>
        <w:ind w:left="1410" w:hanging="33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tplc="9BCEA534">
      <w:start w:val="1"/>
      <w:numFmt w:val="lowerRoman"/>
      <w:lvlText w:val="%3."/>
      <w:lvlJc w:val="left"/>
      <w:pPr>
        <w:ind w:left="2135" w:hanging="27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tplc="6602C3B2">
      <w:start w:val="1"/>
      <w:numFmt w:val="decimal"/>
      <w:lvlText w:val="%4."/>
      <w:lvlJc w:val="left"/>
      <w:pPr>
        <w:ind w:left="2850" w:hanging="33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tplc="14E889B8">
      <w:start w:val="1"/>
      <w:numFmt w:val="lowerLetter"/>
      <w:lvlText w:val="%5."/>
      <w:lvlJc w:val="left"/>
      <w:pPr>
        <w:ind w:left="3570" w:hanging="33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tplc="D7569924">
      <w:start w:val="1"/>
      <w:numFmt w:val="lowerRoman"/>
      <w:lvlText w:val="%6."/>
      <w:lvlJc w:val="left"/>
      <w:pPr>
        <w:ind w:left="4295" w:hanging="27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tplc="AA90D4C4">
      <w:start w:val="1"/>
      <w:numFmt w:val="decimal"/>
      <w:lvlText w:val="%7."/>
      <w:lvlJc w:val="left"/>
      <w:pPr>
        <w:ind w:left="5010" w:hanging="33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tplc="FA9E30B6">
      <w:start w:val="1"/>
      <w:numFmt w:val="lowerLetter"/>
      <w:lvlText w:val="%8."/>
      <w:lvlJc w:val="left"/>
      <w:pPr>
        <w:ind w:left="5730" w:hanging="33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tplc="19C02736">
      <w:start w:val="1"/>
      <w:numFmt w:val="lowerRoman"/>
      <w:lvlText w:val="%9."/>
      <w:lvlJc w:val="left"/>
      <w:pPr>
        <w:ind w:left="6455" w:hanging="27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 w15:restartNumberingAfterBreak="0">
    <w:nsid w:val="1A3B7895"/>
    <w:multiLevelType w:val="hybridMultilevel"/>
    <w:tmpl w:val="6C5A4EE2"/>
    <w:styleLink w:val="ImportedStyle1"/>
    <w:lvl w:ilvl="0" w:tplc="9A460694">
      <w:start w:val="1"/>
      <w:numFmt w:val="upperRoman"/>
      <w:lvlText w:val="%1."/>
      <w:lvlJc w:val="left"/>
      <w:pPr>
        <w:ind w:left="108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CBD2E018">
      <w:start w:val="1"/>
      <w:numFmt w:val="lowerLetter"/>
      <w:lvlText w:val="%2."/>
      <w:lvlJc w:val="left"/>
      <w:pPr>
        <w:ind w:left="14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B3181BEE">
      <w:start w:val="1"/>
      <w:numFmt w:val="lowerRoman"/>
      <w:lvlText w:val="%3."/>
      <w:lvlJc w:val="left"/>
      <w:pPr>
        <w:ind w:left="2134" w:hanging="287"/>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E5F8F574">
      <w:start w:val="1"/>
      <w:numFmt w:val="decimal"/>
      <w:lvlText w:val="%4."/>
      <w:lvlJc w:val="left"/>
      <w:pPr>
        <w:ind w:left="2850" w:hanging="33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F18AF206">
      <w:start w:val="1"/>
      <w:numFmt w:val="lowerLetter"/>
      <w:lvlText w:val="%5."/>
      <w:lvlJc w:val="left"/>
      <w:pPr>
        <w:ind w:left="3570" w:hanging="33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8DD249B0">
      <w:start w:val="1"/>
      <w:numFmt w:val="lowerRoman"/>
      <w:lvlText w:val="%6."/>
      <w:lvlJc w:val="left"/>
      <w:pPr>
        <w:ind w:left="4294" w:hanging="287"/>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3698B006">
      <w:start w:val="1"/>
      <w:numFmt w:val="decimal"/>
      <w:lvlText w:val="%7."/>
      <w:lvlJc w:val="left"/>
      <w:pPr>
        <w:ind w:left="5010" w:hanging="33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5422012A">
      <w:start w:val="1"/>
      <w:numFmt w:val="lowerLetter"/>
      <w:lvlText w:val="%8."/>
      <w:lvlJc w:val="left"/>
      <w:pPr>
        <w:ind w:left="5730" w:hanging="33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14AED37E">
      <w:start w:val="1"/>
      <w:numFmt w:val="lowerRoman"/>
      <w:lvlText w:val="%9."/>
      <w:lvlJc w:val="left"/>
      <w:pPr>
        <w:ind w:left="6454" w:hanging="287"/>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 w15:restartNumberingAfterBreak="0">
    <w:nsid w:val="3668733C"/>
    <w:multiLevelType w:val="hybridMultilevel"/>
    <w:tmpl w:val="34540BD0"/>
    <w:styleLink w:val="ImportedStyle2"/>
    <w:lvl w:ilvl="0" w:tplc="8B08174C">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22DA5814">
      <w:start w:val="1"/>
      <w:numFmt w:val="lowerLetter"/>
      <w:lvlText w:val="%2."/>
      <w:lvlJc w:val="left"/>
      <w:pPr>
        <w:ind w:left="1410" w:hanging="33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82AC8D0C">
      <w:start w:val="1"/>
      <w:numFmt w:val="lowerRoman"/>
      <w:lvlText w:val="%3."/>
      <w:lvlJc w:val="left"/>
      <w:pPr>
        <w:ind w:left="2135" w:hanging="27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93AEECC4">
      <w:start w:val="1"/>
      <w:numFmt w:val="decimal"/>
      <w:lvlText w:val="%4."/>
      <w:lvlJc w:val="left"/>
      <w:pPr>
        <w:ind w:left="2850" w:hanging="33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D2DA9A4A">
      <w:start w:val="1"/>
      <w:numFmt w:val="lowerLetter"/>
      <w:lvlText w:val="%5."/>
      <w:lvlJc w:val="left"/>
      <w:pPr>
        <w:ind w:left="3570" w:hanging="33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B54DE90">
      <w:start w:val="1"/>
      <w:numFmt w:val="lowerRoman"/>
      <w:lvlText w:val="%6."/>
      <w:lvlJc w:val="left"/>
      <w:pPr>
        <w:ind w:left="4295" w:hanging="27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0D810C0">
      <w:start w:val="1"/>
      <w:numFmt w:val="decimal"/>
      <w:lvlText w:val="%7."/>
      <w:lvlJc w:val="left"/>
      <w:pPr>
        <w:ind w:left="5010" w:hanging="33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FE89F62">
      <w:start w:val="1"/>
      <w:numFmt w:val="lowerLetter"/>
      <w:lvlText w:val="%8."/>
      <w:lvlJc w:val="left"/>
      <w:pPr>
        <w:ind w:left="5730" w:hanging="33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22E623F6">
      <w:start w:val="1"/>
      <w:numFmt w:val="lowerRoman"/>
      <w:lvlText w:val="%9."/>
      <w:lvlJc w:val="left"/>
      <w:pPr>
        <w:ind w:left="6455" w:hanging="27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4ECC33F6"/>
    <w:multiLevelType w:val="hybridMultilevel"/>
    <w:tmpl w:val="6C5A4EE2"/>
    <w:numStyleLink w:val="ImportedStyle1"/>
  </w:abstractNum>
  <w:abstractNum w:abstractNumId="6" w15:restartNumberingAfterBreak="0">
    <w:nsid w:val="55A84F1A"/>
    <w:multiLevelType w:val="hybridMultilevel"/>
    <w:tmpl w:val="BA8044BE"/>
    <w:numStyleLink w:val="ImportedStyle5"/>
  </w:abstractNum>
  <w:abstractNum w:abstractNumId="7" w15:restartNumberingAfterBreak="0">
    <w:nsid w:val="59F72A5D"/>
    <w:multiLevelType w:val="hybridMultilevel"/>
    <w:tmpl w:val="34540BD0"/>
    <w:numStyleLink w:val="ImportedStyle2"/>
  </w:abstractNum>
  <w:abstractNum w:abstractNumId="8" w15:restartNumberingAfterBreak="0">
    <w:nsid w:val="5BF45723"/>
    <w:multiLevelType w:val="hybridMultilevel"/>
    <w:tmpl w:val="6C5A4EE2"/>
    <w:numStyleLink w:val="ImportedStyle1"/>
  </w:abstractNum>
  <w:abstractNum w:abstractNumId="9" w15:restartNumberingAfterBreak="0">
    <w:nsid w:val="7A6C57A1"/>
    <w:multiLevelType w:val="hybridMultilevel"/>
    <w:tmpl w:val="6C5A4EE2"/>
    <w:numStyleLink w:val="ImportedStyle1"/>
  </w:abstractNum>
  <w:num w:numId="1" w16cid:durableId="969750409">
    <w:abstractNumId w:val="5"/>
    <w:lvlOverride w:ilvl="0">
      <w:startOverride w:val="1"/>
      <w:lvl w:ilvl="0" w:tplc="2F9E2C68">
        <w:start w:val="1"/>
        <w:numFmt w:val="decimal"/>
        <w:lvlText w:val=""/>
        <w:lvlJc w:val="left"/>
      </w:lvl>
    </w:lvlOverride>
    <w:lvlOverride w:ilvl="1">
      <w:startOverride w:val="1"/>
      <w:lvl w:ilvl="1" w:tplc="1F1007E2">
        <w:start w:val="1"/>
        <w:numFmt w:val="decimal"/>
        <w:lvlText w:val="%2."/>
        <w:lvlJc w:val="left"/>
        <w:pPr>
          <w:ind w:left="1440" w:hanging="360"/>
        </w:pPr>
        <w:rPr>
          <w:rFonts w:hAnsi="Arial Unicode MS"/>
          <w:b w:val="0"/>
          <w:b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startOverride w:val="1"/>
      <w:lvl w:ilvl="2" w:tplc="AD5AE5F0">
        <w:start w:val="1"/>
        <w:numFmt w:val="decimal"/>
        <w:lvlText w:val=""/>
        <w:lvlJc w:val="left"/>
      </w:lvl>
    </w:lvlOverride>
    <w:lvlOverride w:ilvl="3">
      <w:startOverride w:val="1"/>
      <w:lvl w:ilvl="3" w:tplc="CC2E9EE6">
        <w:start w:val="1"/>
        <w:numFmt w:val="decimal"/>
        <w:lvlText w:val=""/>
        <w:lvlJc w:val="left"/>
      </w:lvl>
    </w:lvlOverride>
    <w:lvlOverride w:ilvl="4">
      <w:startOverride w:val="1"/>
      <w:lvl w:ilvl="4" w:tplc="50BCD65E">
        <w:start w:val="1"/>
        <w:numFmt w:val="decimal"/>
        <w:lvlText w:val=""/>
        <w:lvlJc w:val="left"/>
      </w:lvl>
    </w:lvlOverride>
    <w:lvlOverride w:ilvl="5">
      <w:startOverride w:val="1"/>
      <w:lvl w:ilvl="5" w:tplc="8968EA5A">
        <w:start w:val="1"/>
        <w:numFmt w:val="decimal"/>
        <w:lvlText w:val=""/>
        <w:lvlJc w:val="left"/>
      </w:lvl>
    </w:lvlOverride>
    <w:lvlOverride w:ilvl="6">
      <w:startOverride w:val="1"/>
      <w:lvl w:ilvl="6" w:tplc="0EF89B7A">
        <w:start w:val="1"/>
        <w:numFmt w:val="decimal"/>
        <w:lvlText w:val=""/>
        <w:lvlJc w:val="left"/>
      </w:lvl>
    </w:lvlOverride>
    <w:lvlOverride w:ilvl="7">
      <w:startOverride w:val="1"/>
      <w:lvl w:ilvl="7" w:tplc="172AEFDC">
        <w:start w:val="1"/>
        <w:numFmt w:val="decimal"/>
        <w:lvlText w:val=""/>
        <w:lvlJc w:val="left"/>
      </w:lvl>
    </w:lvlOverride>
    <w:lvlOverride w:ilvl="8">
      <w:startOverride w:val="1"/>
      <w:lvl w:ilvl="8" w:tplc="91329D82">
        <w:start w:val="1"/>
        <w:numFmt w:val="decimal"/>
        <w:lvlText w:val=""/>
        <w:lvlJc w:val="left"/>
      </w:lvl>
    </w:lvlOverride>
  </w:num>
  <w:num w:numId="2" w16cid:durableId="1947342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1378310">
    <w:abstractNumId w:val="9"/>
  </w:num>
  <w:num w:numId="4" w16cid:durableId="1348754335">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0729814">
    <w:abstractNumId w:val="0"/>
  </w:num>
  <w:num w:numId="6" w16cid:durableId="867988637">
    <w:abstractNumId w:val="1"/>
  </w:num>
  <w:num w:numId="7" w16cid:durableId="18341003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5957742">
    <w:abstractNumId w:val="6"/>
    <w:lvlOverride w:ilvl="0">
      <w:lvl w:ilvl="0" w:tplc="C4A6C848">
        <w:start w:val="1"/>
        <w:numFmt w:val="decimal"/>
        <w:lvlText w:val="%1."/>
        <w:lvlJc w:val="left"/>
        <w:pPr>
          <w:ind w:left="144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0F7695B2">
        <w:start w:val="1"/>
        <w:numFmt w:val="decimal"/>
        <w:lvlText w:val="%2."/>
        <w:lvlJc w:val="left"/>
        <w:pPr>
          <w:ind w:left="2130" w:hanging="33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5FE8C656">
        <w:start w:val="1"/>
        <w:numFmt w:val="decimal"/>
        <w:lvlText w:val="%3."/>
        <w:lvlJc w:val="left"/>
        <w:pPr>
          <w:ind w:left="2855" w:hanging="27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8A5E9A10">
        <w:start w:val="1"/>
        <w:numFmt w:val="decimal"/>
        <w:lvlText w:val="%4."/>
        <w:lvlJc w:val="left"/>
        <w:pPr>
          <w:ind w:left="3570" w:hanging="33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CDF27C62">
        <w:start w:val="1"/>
        <w:numFmt w:val="decimal"/>
        <w:lvlText w:val="%5."/>
        <w:lvlJc w:val="left"/>
        <w:pPr>
          <w:ind w:left="4290" w:hanging="33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35FC6C9A">
        <w:start w:val="1"/>
        <w:numFmt w:val="decimal"/>
        <w:lvlText w:val="%6."/>
        <w:lvlJc w:val="left"/>
        <w:pPr>
          <w:ind w:left="5015" w:hanging="27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B91019E2">
        <w:start w:val="1"/>
        <w:numFmt w:val="decimal"/>
        <w:lvlText w:val="%7."/>
        <w:lvlJc w:val="left"/>
        <w:pPr>
          <w:ind w:left="5730" w:hanging="33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43D22948">
        <w:start w:val="1"/>
        <w:numFmt w:val="decimal"/>
        <w:lvlText w:val="%8."/>
        <w:lvlJc w:val="left"/>
        <w:pPr>
          <w:ind w:left="6450" w:hanging="33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F5B47EC4">
        <w:start w:val="1"/>
        <w:numFmt w:val="decimal"/>
        <w:lvlText w:val="%9."/>
        <w:lvlJc w:val="left"/>
        <w:pPr>
          <w:ind w:left="7175" w:hanging="27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9" w16cid:durableId="695346641">
    <w:abstractNumId w:val="8"/>
  </w:num>
  <w:num w:numId="10" w16cid:durableId="1883639608">
    <w:abstractNumId w:val="2"/>
  </w:num>
  <w:num w:numId="11" w16cid:durableId="1039935003">
    <w:abstractNumId w:val="3"/>
  </w:num>
  <w:num w:numId="12" w16cid:durableId="1707632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ED"/>
    <w:rsid w:val="001A225F"/>
    <w:rsid w:val="001B544D"/>
    <w:rsid w:val="002154FB"/>
    <w:rsid w:val="00476906"/>
    <w:rsid w:val="00635A77"/>
    <w:rsid w:val="006517ED"/>
    <w:rsid w:val="00714E57"/>
    <w:rsid w:val="008A69FB"/>
    <w:rsid w:val="008B0738"/>
    <w:rsid w:val="008F7171"/>
    <w:rsid w:val="009E688E"/>
    <w:rsid w:val="00A258B2"/>
    <w:rsid w:val="00A901FC"/>
    <w:rsid w:val="00C25C18"/>
    <w:rsid w:val="00FA4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80A7BB"/>
  <w15:chartTrackingRefBased/>
  <w15:docId w15:val="{761A9013-7FC9-C447-AFDB-F395ADF9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7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7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7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7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7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7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7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7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7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7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7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7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7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7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7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7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7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7ED"/>
    <w:rPr>
      <w:rFonts w:eastAsiaTheme="majorEastAsia" w:cstheme="majorBidi"/>
      <w:color w:val="272727" w:themeColor="text1" w:themeTint="D8"/>
    </w:rPr>
  </w:style>
  <w:style w:type="paragraph" w:styleId="Title">
    <w:name w:val="Title"/>
    <w:basedOn w:val="Normal"/>
    <w:next w:val="Normal"/>
    <w:link w:val="TitleChar"/>
    <w:uiPriority w:val="10"/>
    <w:qFormat/>
    <w:rsid w:val="006517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7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7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7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7ED"/>
    <w:pPr>
      <w:spacing w:before="160"/>
      <w:jc w:val="center"/>
    </w:pPr>
    <w:rPr>
      <w:i/>
      <w:iCs/>
      <w:color w:val="404040" w:themeColor="text1" w:themeTint="BF"/>
    </w:rPr>
  </w:style>
  <w:style w:type="character" w:customStyle="1" w:styleId="QuoteChar">
    <w:name w:val="Quote Char"/>
    <w:basedOn w:val="DefaultParagraphFont"/>
    <w:link w:val="Quote"/>
    <w:uiPriority w:val="29"/>
    <w:rsid w:val="006517ED"/>
    <w:rPr>
      <w:i/>
      <w:iCs/>
      <w:color w:val="404040" w:themeColor="text1" w:themeTint="BF"/>
    </w:rPr>
  </w:style>
  <w:style w:type="paragraph" w:styleId="ListParagraph">
    <w:name w:val="List Paragraph"/>
    <w:basedOn w:val="Normal"/>
    <w:uiPriority w:val="34"/>
    <w:qFormat/>
    <w:rsid w:val="006517ED"/>
    <w:pPr>
      <w:ind w:left="720"/>
      <w:contextualSpacing/>
    </w:pPr>
  </w:style>
  <w:style w:type="character" w:styleId="IntenseEmphasis">
    <w:name w:val="Intense Emphasis"/>
    <w:basedOn w:val="DefaultParagraphFont"/>
    <w:uiPriority w:val="21"/>
    <w:qFormat/>
    <w:rsid w:val="006517ED"/>
    <w:rPr>
      <w:i/>
      <w:iCs/>
      <w:color w:val="0F4761" w:themeColor="accent1" w:themeShade="BF"/>
    </w:rPr>
  </w:style>
  <w:style w:type="paragraph" w:styleId="IntenseQuote">
    <w:name w:val="Intense Quote"/>
    <w:basedOn w:val="Normal"/>
    <w:next w:val="Normal"/>
    <w:link w:val="IntenseQuoteChar"/>
    <w:uiPriority w:val="30"/>
    <w:qFormat/>
    <w:rsid w:val="006517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7ED"/>
    <w:rPr>
      <w:i/>
      <w:iCs/>
      <w:color w:val="0F4761" w:themeColor="accent1" w:themeShade="BF"/>
    </w:rPr>
  </w:style>
  <w:style w:type="character" w:styleId="IntenseReference">
    <w:name w:val="Intense Reference"/>
    <w:basedOn w:val="DefaultParagraphFont"/>
    <w:uiPriority w:val="32"/>
    <w:qFormat/>
    <w:rsid w:val="006517ED"/>
    <w:rPr>
      <w:b/>
      <w:bCs/>
      <w:smallCaps/>
      <w:color w:val="0F4761" w:themeColor="accent1" w:themeShade="BF"/>
      <w:spacing w:val="5"/>
    </w:rPr>
  </w:style>
  <w:style w:type="paragraph" w:customStyle="1" w:styleId="BodyA">
    <w:name w:val="Body A"/>
    <w:rsid w:val="006517ED"/>
    <w:pPr>
      <w:spacing w:after="0" w:line="240" w:lineRule="auto"/>
    </w:pPr>
    <w:rPr>
      <w:rFonts w:ascii="Helvetica Neue" w:eastAsia="Arial Unicode MS" w:hAnsi="Helvetica Neue" w:cs="Arial Unicode MS"/>
      <w:color w:val="000000"/>
      <w:kern w:val="0"/>
      <w:sz w:val="22"/>
      <w:szCs w:val="22"/>
      <w:u w:color="000000"/>
      <w:lang w:val="en-US"/>
      <w14:textOutline w14:w="12700" w14:cap="flat" w14:cmpd="sng" w14:algn="ctr">
        <w14:noFill/>
        <w14:prstDash w14:val="solid"/>
        <w14:miter w14:lim="100000"/>
      </w14:textOutline>
      <w14:ligatures w14:val="none"/>
    </w:rPr>
  </w:style>
  <w:style w:type="paragraph" w:customStyle="1" w:styleId="Default">
    <w:name w:val="Default"/>
    <w:rsid w:val="006517ED"/>
    <w:pPr>
      <w:spacing w:before="160" w:after="0" w:line="288" w:lineRule="auto"/>
    </w:pPr>
    <w:rPr>
      <w:rFonts w:ascii="Helvetica Neue" w:eastAsia="Arial Unicode MS" w:hAnsi="Helvetica Neue" w:cs="Arial Unicode MS"/>
      <w:color w:val="000000"/>
      <w:kern w:val="0"/>
      <w:u w:color="000000"/>
      <w:lang w:val="en-US"/>
      <w14:textOutline w14:w="12700" w14:cap="flat" w14:cmpd="sng" w14:algn="ctr">
        <w14:noFill/>
        <w14:prstDash w14:val="solid"/>
        <w14:miter w14:lim="100000"/>
      </w14:textOutline>
      <w14:ligatures w14:val="none"/>
    </w:rPr>
  </w:style>
  <w:style w:type="paragraph" w:customStyle="1" w:styleId="BodyB">
    <w:name w:val="Body B"/>
    <w:rsid w:val="006517ED"/>
    <w:pPr>
      <w:spacing w:after="0" w:line="240" w:lineRule="auto"/>
    </w:pPr>
    <w:rPr>
      <w:rFonts w:ascii="Times New Roman" w:eastAsia="Arial Unicode MS" w:hAnsi="Times New Roman" w:cs="Arial Unicode MS"/>
      <w:color w:val="000000"/>
      <w:kern w:val="0"/>
      <w:u w:color="000000"/>
      <w:lang w:val="en-US"/>
      <w14:textOutline w14:w="12700" w14:cap="flat" w14:cmpd="sng" w14:algn="ctr">
        <w14:noFill/>
        <w14:prstDash w14:val="solid"/>
        <w14:miter w14:lim="100000"/>
      </w14:textOutline>
      <w14:ligatures w14:val="none"/>
    </w:rPr>
  </w:style>
  <w:style w:type="paragraph" w:customStyle="1" w:styleId="Footnote">
    <w:name w:val="Footnote"/>
    <w:rsid w:val="006517ED"/>
    <w:pPr>
      <w:spacing w:after="0" w:line="240" w:lineRule="auto"/>
    </w:pPr>
    <w:rPr>
      <w:rFonts w:ascii="Helvetica Neue" w:eastAsia="Helvetica Neue" w:hAnsi="Helvetica Neue" w:cs="Helvetica Neue"/>
      <w:color w:val="000000"/>
      <w:kern w:val="0"/>
      <w:sz w:val="22"/>
      <w:szCs w:val="22"/>
      <w:u w:color="000000"/>
      <w:lang w:val="en-US"/>
      <w14:textOutline w14:w="12700" w14:cap="flat" w14:cmpd="sng" w14:algn="ctr">
        <w14:noFill/>
        <w14:prstDash w14:val="solid"/>
        <w14:miter w14:lim="100000"/>
      </w14:textOutline>
      <w14:ligatures w14:val="none"/>
    </w:rPr>
  </w:style>
  <w:style w:type="paragraph" w:customStyle="1" w:styleId="Body">
    <w:name w:val="Body"/>
    <w:rsid w:val="006517ED"/>
    <w:pPr>
      <w:spacing w:after="0" w:line="240" w:lineRule="auto"/>
    </w:pPr>
    <w:rPr>
      <w:rFonts w:ascii="Times New Roman" w:eastAsia="Arial Unicode MS" w:hAnsi="Times New Roman" w:cs="Arial Unicode MS"/>
      <w:color w:val="000000"/>
      <w:kern w:val="0"/>
      <w:u w:color="000000"/>
      <w:lang w:val="en-US"/>
      <w14:textOutline w14:w="0" w14:cap="flat" w14:cmpd="sng" w14:algn="ctr">
        <w14:noFill/>
        <w14:prstDash w14:val="solid"/>
        <w14:bevel/>
      </w14:textOutline>
      <w14:ligatures w14:val="none"/>
    </w:rPr>
  </w:style>
  <w:style w:type="character" w:customStyle="1" w:styleId="None">
    <w:name w:val="None"/>
    <w:rsid w:val="006517ED"/>
  </w:style>
  <w:style w:type="character" w:customStyle="1" w:styleId="Hyperlink0">
    <w:name w:val="Hyperlink.0"/>
    <w:basedOn w:val="None"/>
    <w:rsid w:val="006517ED"/>
    <w:rPr>
      <w:rFonts w:ascii="Times New Roman" w:eastAsia="Times New Roman" w:hAnsi="Times New Roman" w:cs="Times New Roman" w:hint="default"/>
      <w:outline w:val="0"/>
      <w:shadow w:val="0"/>
      <w:emboss w:val="0"/>
      <w:imprint w:val="0"/>
      <w:color w:val="0000FF"/>
      <w:u w:val="single" w:color="0000FF"/>
    </w:rPr>
  </w:style>
  <w:style w:type="character" w:customStyle="1" w:styleId="Hyperlink1">
    <w:name w:val="Hyperlink.1"/>
    <w:basedOn w:val="None"/>
    <w:rsid w:val="006517ED"/>
    <w:rPr>
      <w:rFonts w:ascii="Times New Roman" w:eastAsia="Times New Roman" w:hAnsi="Times New Roman" w:cs="Times New Roman" w:hint="default"/>
      <w:outline w:val="0"/>
      <w:shadow w:val="0"/>
      <w:emboss w:val="0"/>
      <w:imprint w:val="0"/>
      <w:color w:val="0000EE"/>
      <w:u w:val="single" w:color="0000EE"/>
    </w:rPr>
  </w:style>
  <w:style w:type="character" w:customStyle="1" w:styleId="Hyperlink2">
    <w:name w:val="Hyperlink.2"/>
    <w:basedOn w:val="None"/>
    <w:rsid w:val="006517ED"/>
    <w:rPr>
      <w:rFonts w:ascii="Times New Roman" w:eastAsia="Times New Roman" w:hAnsi="Times New Roman" w:cs="Times New Roman" w:hint="default"/>
      <w:outline w:val="0"/>
      <w:shadow w:val="0"/>
      <w:emboss w:val="0"/>
      <w:imprint w:val="0"/>
      <w:color w:val="0000EE"/>
      <w:sz w:val="18"/>
      <w:szCs w:val="18"/>
      <w:u w:val="single" w:color="0000EE"/>
    </w:rPr>
  </w:style>
  <w:style w:type="character" w:customStyle="1" w:styleId="Hyperlink3">
    <w:name w:val="Hyperlink.3"/>
    <w:basedOn w:val="Hyperlink"/>
    <w:rsid w:val="006517ED"/>
    <w:rPr>
      <w:outline w:val="0"/>
      <w:shadow w:val="0"/>
      <w:emboss w:val="0"/>
      <w:imprint w:val="0"/>
      <w:color w:val="0000FF"/>
      <w:u w:val="single" w:color="0000FF"/>
    </w:rPr>
  </w:style>
  <w:style w:type="character" w:customStyle="1" w:styleId="Hyperlink4">
    <w:name w:val="Hyperlink.4"/>
    <w:basedOn w:val="None"/>
    <w:rsid w:val="006517ED"/>
    <w:rPr>
      <w:rFonts w:ascii="Times New Roman" w:eastAsia="Times New Roman" w:hAnsi="Times New Roman" w:cs="Times New Roman" w:hint="default"/>
      <w:outline w:val="0"/>
      <w:shadow w:val="0"/>
      <w:emboss w:val="0"/>
      <w:imprint w:val="0"/>
      <w:color w:val="0000FF"/>
      <w:sz w:val="18"/>
      <w:szCs w:val="18"/>
      <w:u w:val="single" w:color="0000FF"/>
    </w:rPr>
  </w:style>
  <w:style w:type="character" w:customStyle="1" w:styleId="Hyperlink5">
    <w:name w:val="Hyperlink.5"/>
    <w:basedOn w:val="None"/>
    <w:rsid w:val="006517ED"/>
    <w:rPr>
      <w:rFonts w:ascii="Times New Roman" w:eastAsia="Times New Roman" w:hAnsi="Times New Roman" w:cs="Times New Roman" w:hint="default"/>
      <w:outline w:val="0"/>
      <w:shadow w:val="0"/>
      <w:emboss w:val="0"/>
      <w:imprint w:val="0"/>
      <w:color w:val="0000EE"/>
      <w:u w:val="single"/>
    </w:rPr>
  </w:style>
  <w:style w:type="character" w:customStyle="1" w:styleId="Hyperlink7">
    <w:name w:val="Hyperlink.7"/>
    <w:basedOn w:val="None"/>
    <w:rsid w:val="006517ED"/>
    <w:rPr>
      <w:outline w:val="0"/>
      <w:shadow w:val="0"/>
      <w:emboss w:val="0"/>
      <w:imprint w:val="0"/>
      <w:color w:val="0000FF"/>
      <w:u w:val="single" w:color="0000FF"/>
    </w:rPr>
  </w:style>
  <w:style w:type="character" w:customStyle="1" w:styleId="Hyperlink8">
    <w:name w:val="Hyperlink.8"/>
    <w:basedOn w:val="None"/>
    <w:rsid w:val="006517ED"/>
    <w:rPr>
      <w:u w:val="single"/>
    </w:rPr>
  </w:style>
  <w:style w:type="character" w:customStyle="1" w:styleId="Hyperlink9">
    <w:name w:val="Hyperlink.9"/>
    <w:basedOn w:val="None"/>
    <w:rsid w:val="006517ED"/>
    <w:rPr>
      <w:outline w:val="0"/>
      <w:shadow w:val="0"/>
      <w:emboss w:val="0"/>
      <w:imprint w:val="0"/>
      <w:color w:val="0000EE"/>
      <w:u w:val="single" w:color="0000EE"/>
    </w:rPr>
  </w:style>
  <w:style w:type="character" w:customStyle="1" w:styleId="Hyperlink10">
    <w:name w:val="Hyperlink.10"/>
    <w:basedOn w:val="None"/>
    <w:rsid w:val="006517ED"/>
    <w:rPr>
      <w:outline w:val="0"/>
      <w:shadow w:val="0"/>
      <w:emboss w:val="0"/>
      <w:imprint w:val="0"/>
      <w:color w:val="0000EE"/>
      <w:u w:val="single"/>
    </w:rPr>
  </w:style>
  <w:style w:type="numbering" w:customStyle="1" w:styleId="ImportedStyle5">
    <w:name w:val="Imported Style 5"/>
    <w:rsid w:val="006517ED"/>
    <w:pPr>
      <w:numPr>
        <w:numId w:val="10"/>
      </w:numPr>
    </w:pPr>
  </w:style>
  <w:style w:type="numbering" w:customStyle="1" w:styleId="ImportedStyle1">
    <w:name w:val="Imported Style 1"/>
    <w:rsid w:val="006517ED"/>
    <w:pPr>
      <w:numPr>
        <w:numId w:val="11"/>
      </w:numPr>
    </w:pPr>
  </w:style>
  <w:style w:type="numbering" w:customStyle="1" w:styleId="ImportedStyle2">
    <w:name w:val="Imported Style 2"/>
    <w:rsid w:val="006517ED"/>
    <w:pPr>
      <w:numPr>
        <w:numId w:val="12"/>
      </w:numPr>
    </w:pPr>
  </w:style>
  <w:style w:type="character" w:styleId="Hyperlink">
    <w:name w:val="Hyperlink"/>
    <w:basedOn w:val="DefaultParagraphFont"/>
    <w:uiPriority w:val="99"/>
    <w:semiHidden/>
    <w:unhideWhenUsed/>
    <w:rsid w:val="006517ED"/>
    <w:rPr>
      <w:color w:val="467886" w:themeColor="hyperlink"/>
      <w:u w:val="single"/>
    </w:rPr>
  </w:style>
  <w:style w:type="paragraph" w:styleId="Header">
    <w:name w:val="header"/>
    <w:basedOn w:val="Normal"/>
    <w:link w:val="HeaderChar"/>
    <w:uiPriority w:val="99"/>
    <w:unhideWhenUsed/>
    <w:rsid w:val="00476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906"/>
  </w:style>
  <w:style w:type="paragraph" w:styleId="Footer">
    <w:name w:val="footer"/>
    <w:basedOn w:val="Normal"/>
    <w:link w:val="FooterChar"/>
    <w:uiPriority w:val="99"/>
    <w:unhideWhenUsed/>
    <w:rsid w:val="00476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906"/>
  </w:style>
  <w:style w:type="character" w:styleId="PageNumber">
    <w:name w:val="page number"/>
    <w:basedOn w:val="DefaultParagraphFont"/>
    <w:uiPriority w:val="99"/>
    <w:semiHidden/>
    <w:unhideWhenUsed/>
    <w:rsid w:val="00476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forbiddenstories.org/the-pegasus-project-a-worldwide-collaboration-to-counter-a-global-crime/" TargetMode="External"/><Relationship Id="rId13" Type="http://schemas.openxmlformats.org/officeDocument/2006/relationships/hyperlink" Target="https://docs.un.org/en/A/HRC/41/35" TargetMode="External"/><Relationship Id="rId18" Type="http://schemas.openxmlformats.org/officeDocument/2006/relationships/hyperlink" Target="https://www.amnesty.nl/actueel/azerbaijan-activists-targeted-by-government-sponsored-cyberattack" TargetMode="External"/><Relationship Id="rId26" Type="http://schemas.openxmlformats.org/officeDocument/2006/relationships/hyperlink" Target="https://cpj.org/2025/12/trial-of-12-journalists-begins-in-azerbaijans-case-against-meydan-tv/?utm_source=chatgpt.com" TargetMode="External"/><Relationship Id="rId3" Type="http://schemas.openxmlformats.org/officeDocument/2006/relationships/hyperlink" Target="https://epic.org/wp-content/uploads/2025/11/EPIC-The-Fight-to-Protect-Our-Phones-1.pdf" TargetMode="External"/><Relationship Id="rId21" Type="http://schemas.openxmlformats.org/officeDocument/2006/relationships/hyperlink" Target="https://rm.coe.int/threats-to-life-and-safety-of-journalists-and-hr-defenders-in-azerbaij/1680aaafa3" TargetMode="External"/><Relationship Id="rId7" Type="http://schemas.openxmlformats.org/officeDocument/2006/relationships/hyperlink" Target="https://fra.europa.eu/sites/default/files/fra_uploads/ecthr-fra-2025-mass-surveillance_en.pdf" TargetMode="External"/><Relationship Id="rId12" Type="http://schemas.openxmlformats.org/officeDocument/2006/relationships/hyperlink" Target="https://www.politico.eu/wp-content/uploads/2022/11/08/PEGA-draft-report-final-8-1117473.pdf" TargetMode="External"/><Relationship Id="rId17" Type="http://schemas.openxmlformats.org/officeDocument/2006/relationships/hyperlink" Target="https://globalfreedomofexpression.columbia.edu/cases/uzeyir-jafarov-v-azerbaijan/?utm_source=chatgpt.com" TargetMode="External"/><Relationship Id="rId25" Type="http://schemas.openxmlformats.org/officeDocument/2006/relationships/hyperlink" Target="https://www.amnesty.org/en/latest/news/2025/06/azerbaijan-seven-journalists-sentenced-in-latest-shocking-crackdown-on-free-speech/?utm_source=chatgpt.com" TargetMode="External"/><Relationship Id="rId2" Type="http://schemas.openxmlformats.org/officeDocument/2006/relationships/hyperlink" Target="https://privacyinternational.org/sites/default/files/2019-09/BVerfG_Statement_PI_Trojans_Sept2019_EN.pdf" TargetMode="External"/><Relationship Id="rId16" Type="http://schemas.openxmlformats.org/officeDocument/2006/relationships/hyperlink" Target="https://privacyinternational.org/sites/default/files/2019-01/Khadija-Ismayilova-Intervention.pdf" TargetMode="External"/><Relationship Id="rId20" Type="http://schemas.openxmlformats.org/officeDocument/2006/relationships/hyperlink" Target="https://www.amnesty.org/en/latest/news/2023/05/armenia-azerbaijan-pegasus-spyware-targeted-armenian-public-figures-amid-conflict/?utm_source=chatgpt.com" TargetMode="External"/><Relationship Id="rId29" Type="http://schemas.openxmlformats.org/officeDocument/2006/relationships/hyperlink" Target="https://www.hrw.org/news/2025/11/26/azerbaijan-escalates-crackdown-on-exiled-critics?utm_source=chatgpt.com" TargetMode="External"/><Relationship Id="rId1" Type="http://schemas.openxmlformats.org/officeDocument/2006/relationships/hyperlink" Target="https://edri.org/wp-content/uploads/2025/06/EDRi_Spyware-position-paper.pdf" TargetMode="External"/><Relationship Id="rId6" Type="http://schemas.openxmlformats.org/officeDocument/2006/relationships/hyperlink" Target="https://fra.europa.eu/en/publication/2023/surveillance-update?page=3&amp;utm_source=chatgpt.com" TargetMode="External"/><Relationship Id="rId11" Type="http://schemas.openxmlformats.org/officeDocument/2006/relationships/hyperlink" Target="https://citizenlab.ca/research/million-dollar-dissident-iphone-zero-day-nso-group-uae/" TargetMode="External"/><Relationship Id="rId24" Type="http://schemas.openxmlformats.org/officeDocument/2006/relationships/hyperlink" Target="https://www.ohchr.org/en/documents/country-reports/ahrc3637add1-report-working-group-arbitrary-detention-its-mission" TargetMode="External"/><Relationship Id="rId32" Type="http://schemas.openxmlformats.org/officeDocument/2006/relationships/hyperlink" Target="https://www.hrw.org/world-report/2025/country-chapters/azerbaijan?utm_source=chatgpt.com" TargetMode="External"/><Relationship Id="rId5" Type="http://schemas.openxmlformats.org/officeDocument/2006/relationships/hyperlink" Target="https://www.amnesty.org/en/latest/research/2021/07/forensic-methodology-report-how-to-catch-nso-groups-pegasus/" TargetMode="External"/><Relationship Id="rId15" Type="http://schemas.openxmlformats.org/officeDocument/2006/relationships/hyperlink" Target="https://www.theguardian.com/world/2021/jul/18/nso-spyware-used-to-target-family-of-jamal-khashoggi-leaked-data-shows-saudis-pegasus" TargetMode="External"/><Relationship Id="rId23" Type="http://schemas.openxmlformats.org/officeDocument/2006/relationships/hyperlink" Target="https://www.ohchr.org/en/press-releases/2025/05/azerbaijan-un-experts-alarmed-year-long-arbitrary-detention-azerbaijani" TargetMode="External"/><Relationship Id="rId28" Type="http://schemas.openxmlformats.org/officeDocument/2006/relationships/hyperlink" Target="https://rsf.org/en/corruption-reigns-azerbaijan-supreme-court-upholds-abzas-journalists-unjust-prison-sentences?utm_source=chatgpt.com" TargetMode="External"/><Relationship Id="rId10" Type="http://schemas.openxmlformats.org/officeDocument/2006/relationships/hyperlink" Target="https://doi.org/10.1163/26663236-00101001" TargetMode="External"/><Relationship Id="rId19" Type="http://schemas.openxmlformats.org/officeDocument/2006/relationships/hyperlink" Target="https://www.mediadefence.org/news/pegasus-spyware-azerbaijan/" TargetMode="External"/><Relationship Id="rId31" Type="http://schemas.openxmlformats.org/officeDocument/2006/relationships/hyperlink" Target="https://www.amnesty.org/en/location/europe-and-central-asia/eastern-europe-and-central-asia/azerbaijan/report-azerbaijan/?utm_source=chatgpt.com" TargetMode="External"/><Relationship Id="rId4" Type="http://schemas.openxmlformats.org/officeDocument/2006/relationships/hyperlink" Target="https://rm.coe.int/pegasus-and-similar-spyware-and-secret-state-surveillance/1680ac7f68" TargetMode="External"/><Relationship Id="rId9" Type="http://schemas.openxmlformats.org/officeDocument/2006/relationships/hyperlink" Target="https://www.echr.coe.int/documents/d/echr/echrtravaux-art17-dh-57-4-bil1675501" TargetMode="External"/><Relationship Id="rId14" Type="http://schemas.openxmlformats.org/officeDocument/2006/relationships/hyperlink" Target="https://forbiddenstories.org/the-pegasus-project-a-worldwide-collaboration-to-counter-a-global-crime/" TargetMode="External"/><Relationship Id="rId22" Type="http://schemas.openxmlformats.org/officeDocument/2006/relationships/hyperlink" Target="https://www.ohchr.org/en/press-releases/2024/08/azerbaijan-expert-concerned-about-prosecution-human-rights-defenders-and" TargetMode="External"/><Relationship Id="rId27" Type="http://schemas.openxmlformats.org/officeDocument/2006/relationships/hyperlink" Target="https://www.fidh.org/en/region/europe-central-asia/azerbaijan/azerbaijan-unlawfully-detained-women-journalists-face-sexual-violence?utm_source=chatgpt.com" TargetMode="External"/><Relationship Id="rId30" Type="http://schemas.openxmlformats.org/officeDocument/2006/relationships/hyperlink" Target="https://www.coe.int/en/web/portal/-/pace-resolves-not-to-ratify-the-credentials-of-azerbaijan-s-parliamentary-delegation-citing-a-failure-to-fulfil-major-commi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4562</Words>
  <Characters>26005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Amr Fahmy</dc:creator>
  <cp:keywords/>
  <dc:description/>
  <cp:lastModifiedBy>Ilia Siatitsa</cp:lastModifiedBy>
  <cp:revision>4</cp:revision>
  <dcterms:created xsi:type="dcterms:W3CDTF">2026-04-21T11:36:00Z</dcterms:created>
  <dcterms:modified xsi:type="dcterms:W3CDTF">2026-04-21T13:33:00Z</dcterms:modified>
</cp:coreProperties>
</file>